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20" w:rsidRDefault="006D6C20" w:rsidP="006D6C20">
      <w:pPr>
        <w:jc w:val="both"/>
        <w:rPr>
          <w:rFonts w:asciiTheme="majorHAnsi" w:hAnsiTheme="majorHAnsi"/>
        </w:rPr>
      </w:pPr>
      <w:r w:rsidRPr="00103E56">
        <w:rPr>
          <w:rFonts w:asciiTheme="majorHAnsi" w:hAnsiTheme="majorHAnsi"/>
          <w:b/>
          <w:sz w:val="32"/>
          <w:szCs w:val="32"/>
          <w:u w:val="single"/>
        </w:rPr>
        <w:t>C</w:t>
      </w:r>
      <w:r>
        <w:rPr>
          <w:rFonts w:asciiTheme="majorHAnsi" w:hAnsiTheme="majorHAnsi"/>
          <w:b/>
          <w:sz w:val="32"/>
          <w:szCs w:val="32"/>
          <w:u w:val="single"/>
        </w:rPr>
        <w:t>onstruction Design Management (C</w:t>
      </w:r>
      <w:r w:rsidRPr="00103E56">
        <w:rPr>
          <w:rFonts w:asciiTheme="majorHAnsi" w:hAnsiTheme="majorHAnsi"/>
          <w:b/>
          <w:sz w:val="32"/>
          <w:szCs w:val="32"/>
          <w:u w:val="single"/>
        </w:rPr>
        <w:t>DM</w:t>
      </w:r>
      <w:r>
        <w:rPr>
          <w:rFonts w:asciiTheme="majorHAnsi" w:hAnsiTheme="majorHAnsi"/>
          <w:b/>
          <w:sz w:val="32"/>
          <w:szCs w:val="32"/>
          <w:u w:val="single"/>
        </w:rPr>
        <w:t>)</w:t>
      </w:r>
      <w:r>
        <w:rPr>
          <w:rFonts w:asciiTheme="majorHAnsi" w:hAnsiTheme="majorHAnsi"/>
          <w:sz w:val="32"/>
          <w:szCs w:val="32"/>
        </w:rPr>
        <w:t xml:space="preserve"> </w:t>
      </w:r>
    </w:p>
    <w:p w:rsidR="006D6C20" w:rsidRDefault="006D6C20" w:rsidP="006D6C20">
      <w:pPr>
        <w:jc w:val="both"/>
        <w:rPr>
          <w:rFonts w:asciiTheme="majorHAnsi" w:hAnsiTheme="majorHAnsi"/>
          <w:sz w:val="20"/>
          <w:szCs w:val="20"/>
        </w:rPr>
      </w:pPr>
      <w:r>
        <w:rPr>
          <w:rFonts w:asciiTheme="majorHAnsi" w:hAnsiTheme="majorHAnsi"/>
          <w:sz w:val="20"/>
          <w:szCs w:val="20"/>
        </w:rPr>
        <w:t>Construction Design Management (or CDM for short) is a very new addition to the event industry and all involved are in the process of adjusting to meet these new regulations. The implementation of CDM is the same not on</w:t>
      </w:r>
      <w:r w:rsidRPr="006D6C20">
        <w:rPr>
          <w:rFonts w:asciiTheme="majorHAnsi" w:hAnsiTheme="majorHAnsi"/>
          <w:sz w:val="20"/>
          <w:szCs w:val="20"/>
        </w:rPr>
        <w:t xml:space="preserve">ly for the </w:t>
      </w:r>
      <w:r w:rsidR="00592877">
        <w:rPr>
          <w:rFonts w:asciiTheme="majorHAnsi" w:hAnsiTheme="majorHAnsi"/>
          <w:sz w:val="20"/>
          <w:szCs w:val="20"/>
        </w:rPr>
        <w:t>Brick</w:t>
      </w:r>
      <w:r w:rsidRPr="006D6C20">
        <w:rPr>
          <w:rFonts w:asciiTheme="majorHAnsi" w:hAnsiTheme="majorHAnsi"/>
          <w:sz w:val="20"/>
          <w:szCs w:val="20"/>
        </w:rPr>
        <w:t xml:space="preserve"> Show,</w:t>
      </w:r>
      <w:r>
        <w:rPr>
          <w:rFonts w:asciiTheme="majorHAnsi" w:hAnsiTheme="majorHAnsi"/>
          <w:sz w:val="20"/>
          <w:szCs w:val="20"/>
        </w:rPr>
        <w:t xml:space="preserve"> but all events within the UK where an element of construction is taking place. </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 xml:space="preserve">We have compiled information to try and explain these changes; how it will impact you and what you need to do depending on whether you are a Space Only Exhibitor, Shell Scheme Exhibitor or Contractor. </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 xml:space="preserve">The information below has been included to help guide you through this process and it is mandatory that you read all relevant sections so you know what to expect and anything new you will need to do. </w:t>
      </w:r>
    </w:p>
    <w:p w:rsidR="006D6C20" w:rsidRPr="006D161F" w:rsidRDefault="006D6C20" w:rsidP="006D6C20">
      <w:pPr>
        <w:jc w:val="both"/>
        <w:rPr>
          <w:rFonts w:asciiTheme="majorHAnsi" w:hAnsiTheme="majorHAnsi"/>
          <w:sz w:val="20"/>
          <w:szCs w:val="20"/>
        </w:rPr>
      </w:pPr>
    </w:p>
    <w:p w:rsidR="006D6C20" w:rsidRPr="003E6A05" w:rsidRDefault="006D6C20" w:rsidP="006D6C20">
      <w:pPr>
        <w:jc w:val="both"/>
        <w:rPr>
          <w:rFonts w:asciiTheme="majorHAnsi" w:hAnsiTheme="majorHAnsi"/>
          <w:b/>
          <w:i/>
          <w:color w:val="FF0000"/>
        </w:rPr>
      </w:pPr>
      <w:r w:rsidRPr="003E6A05">
        <w:rPr>
          <w:rFonts w:asciiTheme="majorHAnsi" w:hAnsiTheme="majorHAnsi"/>
          <w:b/>
          <w:color w:val="0000FF"/>
        </w:rPr>
        <w:t xml:space="preserve">Appendix 3 – Site Induction </w:t>
      </w:r>
      <w:r w:rsidR="006C58F4" w:rsidRPr="003E6A05">
        <w:rPr>
          <w:rFonts w:asciiTheme="majorHAnsi" w:hAnsiTheme="majorHAnsi"/>
          <w:b/>
          <w:color w:val="0000FF"/>
        </w:rPr>
        <w:t>Document</w:t>
      </w:r>
      <w:r w:rsidR="006C58F4">
        <w:rPr>
          <w:rFonts w:asciiTheme="majorHAnsi" w:hAnsiTheme="majorHAnsi"/>
          <w:color w:val="0000FF"/>
        </w:rPr>
        <w:t xml:space="preserve"> </w:t>
      </w:r>
      <w:r w:rsidR="006C58F4" w:rsidRPr="006C58F4">
        <w:rPr>
          <w:rFonts w:asciiTheme="majorHAnsi" w:hAnsiTheme="majorHAnsi"/>
        </w:rPr>
        <w:t>which</w:t>
      </w:r>
      <w:r w:rsidR="00592877" w:rsidRPr="006C58F4">
        <w:rPr>
          <w:rFonts w:asciiTheme="majorHAnsi" w:hAnsiTheme="majorHAnsi"/>
        </w:rPr>
        <w:t xml:space="preserve"> </w:t>
      </w:r>
      <w:r w:rsidR="00592877" w:rsidRPr="00592877">
        <w:rPr>
          <w:rFonts w:asciiTheme="majorHAnsi" w:hAnsiTheme="majorHAnsi"/>
        </w:rPr>
        <w:t xml:space="preserve">can be found in the forms zip folder accompanying this manual. </w:t>
      </w:r>
    </w:p>
    <w:p w:rsidR="006D6C20" w:rsidRPr="003E6A05" w:rsidRDefault="006D6C20" w:rsidP="006D6C20">
      <w:pPr>
        <w:jc w:val="both"/>
        <w:rPr>
          <w:rFonts w:asciiTheme="majorHAnsi" w:hAnsiTheme="majorHAnsi"/>
          <w:b/>
          <w:color w:val="0000FF"/>
        </w:rPr>
      </w:pPr>
      <w:r w:rsidRPr="003E6A05">
        <w:rPr>
          <w:rFonts w:asciiTheme="majorHAnsi" w:hAnsiTheme="majorHAnsi"/>
          <w:b/>
          <w:color w:val="0000FF"/>
        </w:rPr>
        <w:t>Appendix 8 – Acknowledgement of Site Induction</w:t>
      </w:r>
      <w:r>
        <w:rPr>
          <w:rFonts w:asciiTheme="majorHAnsi" w:hAnsiTheme="majorHAnsi"/>
          <w:b/>
          <w:color w:val="0000FF"/>
        </w:rPr>
        <w:t xml:space="preserve"> </w:t>
      </w:r>
      <w:r w:rsidR="00592877" w:rsidRPr="00592877">
        <w:rPr>
          <w:rFonts w:asciiTheme="majorHAnsi" w:hAnsiTheme="majorHAnsi"/>
        </w:rPr>
        <w:t>which can be found in the forms zip folder accompanying this manual.</w:t>
      </w:r>
    </w:p>
    <w:p w:rsidR="006D6C20" w:rsidRDefault="006D6C20" w:rsidP="006D6C20">
      <w:pPr>
        <w:jc w:val="both"/>
        <w:rPr>
          <w:rFonts w:asciiTheme="majorHAnsi" w:hAnsiTheme="majorHAnsi"/>
        </w:rPr>
      </w:pPr>
    </w:p>
    <w:p w:rsidR="006D6C20" w:rsidRDefault="006D6C20" w:rsidP="006D6C20">
      <w:pPr>
        <w:jc w:val="both"/>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280"/>
      </w:tblGrid>
      <w:tr w:rsidR="006D6C20" w:rsidTr="00F16E3C">
        <w:tc>
          <w:tcPr>
            <w:tcW w:w="10280" w:type="dxa"/>
            <w:shd w:val="clear" w:color="auto" w:fill="D9D9D9" w:themeFill="background1" w:themeFillShade="D9"/>
          </w:tcPr>
          <w:p w:rsidR="006D6C20" w:rsidRPr="00C13A54" w:rsidRDefault="006D6C20" w:rsidP="00592877">
            <w:pPr>
              <w:jc w:val="both"/>
              <w:rPr>
                <w:rFonts w:asciiTheme="majorHAnsi" w:hAnsiTheme="majorHAnsi"/>
                <w:b/>
                <w:i/>
                <w:color w:val="FF0000"/>
                <w:sz w:val="28"/>
                <w:szCs w:val="28"/>
              </w:rPr>
            </w:pPr>
            <w:r w:rsidRPr="008653E8">
              <w:rPr>
                <w:rFonts w:asciiTheme="majorHAnsi" w:hAnsiTheme="majorHAnsi"/>
                <w:b/>
                <w:sz w:val="28"/>
                <w:szCs w:val="28"/>
              </w:rPr>
              <w:t>What is CDM and why has it been brought in now?</w:t>
            </w:r>
            <w:r>
              <w:rPr>
                <w:rFonts w:asciiTheme="majorHAnsi" w:hAnsiTheme="majorHAnsi"/>
                <w:b/>
                <w:sz w:val="28"/>
                <w:szCs w:val="28"/>
              </w:rPr>
              <w:t xml:space="preserve"> </w:t>
            </w:r>
          </w:p>
        </w:tc>
      </w:tr>
    </w:tbl>
    <w:p w:rsidR="006D6C20" w:rsidRPr="00103E56" w:rsidRDefault="006D6C20" w:rsidP="006D6C20">
      <w:pPr>
        <w:jc w:val="both"/>
        <w:rPr>
          <w:rFonts w:asciiTheme="majorHAnsi" w:hAnsiTheme="majorHAnsi"/>
          <w:b/>
        </w:rPr>
      </w:pPr>
    </w:p>
    <w:p w:rsidR="006D6C20" w:rsidRPr="00103E56" w:rsidRDefault="006D6C20" w:rsidP="006D6C20">
      <w:pPr>
        <w:jc w:val="both"/>
        <w:rPr>
          <w:rFonts w:asciiTheme="majorHAnsi" w:eastAsia="Times New Roman" w:hAnsiTheme="majorHAnsi" w:cs="Arial"/>
          <w:sz w:val="20"/>
          <w:szCs w:val="20"/>
        </w:rPr>
      </w:pPr>
      <w:r w:rsidRPr="00103E56">
        <w:rPr>
          <w:rFonts w:asciiTheme="majorHAnsi" w:eastAsia="Times New Roman" w:hAnsiTheme="majorHAnsi" w:cs="Arial"/>
          <w:sz w:val="20"/>
          <w:szCs w:val="20"/>
        </w:rPr>
        <w:t xml:space="preserve">In April 2015, The Health &amp; Safety Executive Board reviewed H&amp;S practices within the Events industry and after consultation, decided to introduce The Construction Design Management (CDM) regulations for events. </w:t>
      </w:r>
    </w:p>
    <w:p w:rsidR="006D6C20" w:rsidRPr="00103E56" w:rsidRDefault="006D6C20" w:rsidP="006D6C20">
      <w:pPr>
        <w:jc w:val="both"/>
        <w:rPr>
          <w:rFonts w:asciiTheme="majorHAnsi" w:eastAsia="Times New Roman" w:hAnsiTheme="majorHAnsi" w:cs="Arial"/>
          <w:sz w:val="20"/>
          <w:szCs w:val="20"/>
        </w:rPr>
      </w:pPr>
    </w:p>
    <w:p w:rsidR="006D6C20" w:rsidRPr="00103E56" w:rsidRDefault="006D6C20" w:rsidP="006D6C20">
      <w:pPr>
        <w:jc w:val="both"/>
        <w:rPr>
          <w:rFonts w:asciiTheme="majorHAnsi" w:eastAsia="Times New Roman" w:hAnsiTheme="majorHAnsi" w:cs="Arial"/>
          <w:sz w:val="20"/>
          <w:szCs w:val="20"/>
        </w:rPr>
      </w:pPr>
      <w:r>
        <w:rPr>
          <w:rFonts w:asciiTheme="majorHAnsi" w:eastAsia="Times New Roman" w:hAnsiTheme="majorHAnsi" w:cs="Arial"/>
          <w:sz w:val="20"/>
          <w:szCs w:val="20"/>
        </w:rPr>
        <w:t>These regulations have been</w:t>
      </w:r>
      <w:r w:rsidRPr="00103E56">
        <w:rPr>
          <w:rFonts w:asciiTheme="majorHAnsi" w:eastAsia="Times New Roman" w:hAnsiTheme="majorHAnsi" w:cs="Arial"/>
          <w:sz w:val="20"/>
          <w:szCs w:val="20"/>
        </w:rPr>
        <w:t xml:space="preserve"> implemented to further regulate the ind</w:t>
      </w:r>
      <w:r>
        <w:rPr>
          <w:rFonts w:asciiTheme="majorHAnsi" w:eastAsia="Times New Roman" w:hAnsiTheme="majorHAnsi" w:cs="Arial"/>
          <w:sz w:val="20"/>
          <w:szCs w:val="20"/>
        </w:rPr>
        <w:t>ustry and ensure that safety is</w:t>
      </w:r>
      <w:r w:rsidRPr="00103E56">
        <w:rPr>
          <w:rFonts w:asciiTheme="majorHAnsi" w:eastAsia="Times New Roman" w:hAnsiTheme="majorHAnsi" w:cs="Arial"/>
          <w:sz w:val="20"/>
          <w:szCs w:val="20"/>
        </w:rPr>
        <w:t xml:space="preserve"> the highest priority, encouraging better communicati</w:t>
      </w:r>
      <w:r>
        <w:rPr>
          <w:rFonts w:asciiTheme="majorHAnsi" w:eastAsia="Times New Roman" w:hAnsiTheme="majorHAnsi" w:cs="Arial"/>
          <w:sz w:val="20"/>
          <w:szCs w:val="20"/>
        </w:rPr>
        <w:t>on of information and standardis</w:t>
      </w:r>
      <w:r w:rsidRPr="00103E56">
        <w:rPr>
          <w:rFonts w:asciiTheme="majorHAnsi" w:eastAsia="Times New Roman" w:hAnsiTheme="majorHAnsi" w:cs="Arial"/>
          <w:sz w:val="20"/>
          <w:szCs w:val="20"/>
        </w:rPr>
        <w:t xml:space="preserve">ing lines of responsibility. </w:t>
      </w:r>
    </w:p>
    <w:p w:rsidR="006D6C20" w:rsidRPr="00103E56" w:rsidRDefault="006D6C20" w:rsidP="006D6C20">
      <w:pPr>
        <w:jc w:val="both"/>
        <w:rPr>
          <w:rFonts w:asciiTheme="majorHAnsi" w:eastAsia="Times New Roman" w:hAnsiTheme="majorHAnsi" w:cs="Arial"/>
          <w:sz w:val="20"/>
          <w:szCs w:val="20"/>
        </w:rPr>
      </w:pPr>
    </w:p>
    <w:p w:rsidR="006D6C20" w:rsidRPr="00103E56" w:rsidRDefault="006D6C20" w:rsidP="006D6C20">
      <w:pPr>
        <w:jc w:val="both"/>
        <w:rPr>
          <w:rFonts w:asciiTheme="majorHAnsi" w:eastAsia="Times New Roman" w:hAnsiTheme="majorHAnsi" w:cs="Arial"/>
          <w:sz w:val="20"/>
          <w:szCs w:val="20"/>
        </w:rPr>
      </w:pPr>
      <w:r w:rsidRPr="00103E56">
        <w:rPr>
          <w:rFonts w:asciiTheme="majorHAnsi" w:eastAsia="Times New Roman" w:hAnsiTheme="majorHAnsi" w:cs="Arial"/>
          <w:sz w:val="20"/>
          <w:szCs w:val="20"/>
        </w:rPr>
        <w:t>At present this is only a requireme</w:t>
      </w:r>
      <w:r>
        <w:rPr>
          <w:rFonts w:asciiTheme="majorHAnsi" w:eastAsia="Times New Roman" w:hAnsiTheme="majorHAnsi" w:cs="Arial"/>
          <w:sz w:val="20"/>
          <w:szCs w:val="20"/>
        </w:rPr>
        <w:t xml:space="preserve">nt in the UK and </w:t>
      </w:r>
      <w:r w:rsidRPr="00103E56">
        <w:rPr>
          <w:rFonts w:asciiTheme="majorHAnsi" w:eastAsia="Times New Roman" w:hAnsiTheme="majorHAnsi" w:cs="Arial"/>
          <w:sz w:val="20"/>
          <w:szCs w:val="20"/>
        </w:rPr>
        <w:t xml:space="preserve">not a global </w:t>
      </w:r>
      <w:r>
        <w:rPr>
          <w:rFonts w:asciiTheme="majorHAnsi" w:eastAsia="Times New Roman" w:hAnsiTheme="majorHAnsi" w:cs="Arial"/>
          <w:sz w:val="20"/>
          <w:szCs w:val="20"/>
        </w:rPr>
        <w:t>one</w:t>
      </w:r>
      <w:r w:rsidRPr="00103E56">
        <w:rPr>
          <w:rFonts w:asciiTheme="majorHAnsi" w:eastAsia="Times New Roman" w:hAnsiTheme="majorHAnsi" w:cs="Arial"/>
          <w:sz w:val="20"/>
          <w:szCs w:val="20"/>
        </w:rPr>
        <w:t xml:space="preserve">, although the CDM Regulations do encourage best practice and would be useful for other non-UK events. </w:t>
      </w:r>
    </w:p>
    <w:p w:rsidR="006D6C20" w:rsidRDefault="006D6C20" w:rsidP="006D6C20">
      <w:pPr>
        <w:jc w:val="both"/>
        <w:rPr>
          <w:rFonts w:asciiTheme="majorHAnsi" w:hAnsiTheme="majorHAnsi"/>
        </w:rPr>
      </w:pPr>
    </w:p>
    <w:p w:rsidR="006D6C20" w:rsidRDefault="006D6C20" w:rsidP="006D6C20">
      <w:pPr>
        <w:jc w:val="both"/>
        <w:rPr>
          <w:rFonts w:asciiTheme="majorHAnsi" w:hAnsiTheme="majorHAnsi"/>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b/>
                <w:sz w:val="28"/>
                <w:szCs w:val="28"/>
              </w:rPr>
            </w:pPr>
            <w:r w:rsidRPr="0072100C">
              <w:rPr>
                <w:rFonts w:asciiTheme="majorHAnsi" w:hAnsiTheme="majorHAnsi"/>
                <w:b/>
                <w:sz w:val="28"/>
                <w:szCs w:val="28"/>
              </w:rPr>
              <w:t>When will CDM be in operation?</w:t>
            </w:r>
            <w:r>
              <w:rPr>
                <w:rFonts w:asciiTheme="majorHAnsi" w:hAnsiTheme="majorHAnsi"/>
                <w:b/>
                <w:sz w:val="28"/>
                <w:szCs w:val="28"/>
              </w:rPr>
              <w:t xml:space="preserve"> </w:t>
            </w:r>
          </w:p>
        </w:tc>
      </w:tr>
    </w:tbl>
    <w:p w:rsidR="006D6C20" w:rsidRPr="0072100C"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 xml:space="preserve">CDM will only be put into operation at times when there is construction of any kind taking place within the halls, namely during build and breakdown. It will </w:t>
      </w:r>
      <w:r>
        <w:rPr>
          <w:rFonts w:asciiTheme="majorHAnsi" w:hAnsiTheme="majorHAnsi"/>
          <w:b/>
          <w:sz w:val="20"/>
          <w:szCs w:val="20"/>
          <w:u w:val="single"/>
        </w:rPr>
        <w:t>not</w:t>
      </w:r>
      <w:r>
        <w:rPr>
          <w:rFonts w:asciiTheme="majorHAnsi" w:hAnsiTheme="majorHAnsi"/>
          <w:sz w:val="20"/>
          <w:szCs w:val="20"/>
        </w:rPr>
        <w:t xml:space="preserve"> however, be in effect when only stand dressing and aesthetic works such as painting etc. are taking place. Details of when CDM will be in operation for the show are noted within the Site Induction.</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b/>
                <w:sz w:val="28"/>
                <w:szCs w:val="28"/>
              </w:rPr>
            </w:pPr>
            <w:r w:rsidRPr="008653E8">
              <w:rPr>
                <w:rFonts w:asciiTheme="majorHAnsi" w:hAnsiTheme="majorHAnsi"/>
                <w:b/>
                <w:sz w:val="28"/>
                <w:szCs w:val="28"/>
              </w:rPr>
              <w:t>New responsibilities for Org</w:t>
            </w:r>
            <w:r>
              <w:rPr>
                <w:rFonts w:asciiTheme="majorHAnsi" w:hAnsiTheme="majorHAnsi"/>
                <w:b/>
                <w:sz w:val="28"/>
                <w:szCs w:val="28"/>
              </w:rPr>
              <w:t xml:space="preserve">anisers </w:t>
            </w:r>
          </w:p>
        </w:tc>
      </w:tr>
    </w:tbl>
    <w:p w:rsidR="006D6C20" w:rsidRPr="00103E56" w:rsidRDefault="006D6C20" w:rsidP="006D6C20">
      <w:pPr>
        <w:jc w:val="both"/>
        <w:rPr>
          <w:rFonts w:asciiTheme="majorHAnsi" w:hAnsiTheme="majorHAnsi"/>
          <w:b/>
        </w:rPr>
      </w:pPr>
    </w:p>
    <w:p w:rsidR="006D6C20" w:rsidRPr="00103E56" w:rsidRDefault="006D6C20" w:rsidP="006D6C20">
      <w:pPr>
        <w:jc w:val="both"/>
        <w:rPr>
          <w:rFonts w:asciiTheme="majorHAnsi" w:eastAsia="Times New Roman" w:hAnsiTheme="majorHAnsi" w:cs="Arial"/>
          <w:sz w:val="20"/>
          <w:szCs w:val="20"/>
        </w:rPr>
      </w:pPr>
      <w:r w:rsidRPr="00103E56">
        <w:rPr>
          <w:rFonts w:asciiTheme="majorHAnsi" w:eastAsia="Times New Roman" w:hAnsiTheme="majorHAnsi" w:cs="Arial"/>
          <w:sz w:val="20"/>
          <w:szCs w:val="20"/>
        </w:rPr>
        <w:t xml:space="preserve">Since the introduction of the </w:t>
      </w:r>
      <w:r w:rsidRPr="00103E56">
        <w:rPr>
          <w:rFonts w:asciiTheme="majorHAnsi" w:eastAsia="Times New Roman" w:hAnsiTheme="majorHAnsi" w:cs="Times New Roman"/>
          <w:sz w:val="20"/>
          <w:szCs w:val="20"/>
        </w:rPr>
        <w:t xml:space="preserve">Health &amp; Safety at Work </w:t>
      </w:r>
      <w:r w:rsidRPr="00103E56">
        <w:rPr>
          <w:rFonts w:asciiTheme="majorHAnsi" w:eastAsia="Times New Roman" w:hAnsiTheme="majorHAnsi" w:cs="Arial"/>
          <w:sz w:val="20"/>
          <w:szCs w:val="20"/>
        </w:rPr>
        <w:t xml:space="preserve">Act in 1974, Event Organisers have calculated the risks associated with the construction and deconstruction of events, and enforced controls to </w:t>
      </w:r>
      <w:r w:rsidRPr="00103E56">
        <w:rPr>
          <w:rFonts w:asciiTheme="majorHAnsi" w:eastAsia="Times New Roman" w:hAnsiTheme="majorHAnsi" w:cs="Arial"/>
          <w:color w:val="000000"/>
          <w:sz w:val="20"/>
          <w:szCs w:val="20"/>
        </w:rPr>
        <w:t>ensure that all employees, contractors and visitors were provided with a healthy and safe working environment while onsite.</w:t>
      </w:r>
    </w:p>
    <w:p w:rsidR="006D6C20" w:rsidRPr="00103E56" w:rsidRDefault="006D6C20" w:rsidP="006D6C20">
      <w:pPr>
        <w:jc w:val="both"/>
        <w:rPr>
          <w:rFonts w:asciiTheme="majorHAnsi" w:eastAsia="Times New Roman" w:hAnsiTheme="majorHAnsi" w:cs="Arial"/>
          <w:color w:val="000000"/>
          <w:sz w:val="20"/>
          <w:szCs w:val="20"/>
        </w:rPr>
      </w:pPr>
    </w:p>
    <w:p w:rsidR="006D6C20" w:rsidRPr="00103E56" w:rsidRDefault="006D6C20" w:rsidP="006D6C20">
      <w:pPr>
        <w:jc w:val="both"/>
        <w:rPr>
          <w:rFonts w:asciiTheme="majorHAnsi" w:eastAsia="Times New Roman" w:hAnsiTheme="majorHAnsi" w:cs="Arial"/>
          <w:color w:val="000000"/>
          <w:sz w:val="20"/>
          <w:szCs w:val="20"/>
        </w:rPr>
      </w:pPr>
      <w:r w:rsidRPr="00103E56">
        <w:rPr>
          <w:rFonts w:asciiTheme="majorHAnsi" w:eastAsia="Times New Roman" w:hAnsiTheme="majorHAnsi" w:cs="Arial"/>
          <w:color w:val="000000"/>
          <w:sz w:val="20"/>
          <w:szCs w:val="20"/>
        </w:rPr>
        <w:t xml:space="preserve">It is now the responsibility of Organisers, as principle contractors, to do all that is reasonably practicable to prevent personal injury and damage to property, and to protect everyone from foreseeable work hazards at all locations. </w:t>
      </w:r>
    </w:p>
    <w:p w:rsidR="006D6C20" w:rsidRPr="00103E56" w:rsidRDefault="006D6C20" w:rsidP="006D6C20">
      <w:pPr>
        <w:jc w:val="both"/>
        <w:rPr>
          <w:rFonts w:asciiTheme="majorHAnsi" w:eastAsia="Times New Roman" w:hAnsiTheme="majorHAnsi" w:cs="Arial"/>
          <w:color w:val="000000"/>
          <w:sz w:val="20"/>
          <w:szCs w:val="20"/>
        </w:rPr>
      </w:pPr>
    </w:p>
    <w:p w:rsidR="006D6C20" w:rsidRPr="00103E56" w:rsidRDefault="006D6C20" w:rsidP="006D6C20">
      <w:pPr>
        <w:jc w:val="both"/>
        <w:rPr>
          <w:rFonts w:asciiTheme="majorHAnsi" w:eastAsia="Times New Roman" w:hAnsiTheme="majorHAnsi" w:cs="Arial"/>
          <w:color w:val="000000"/>
          <w:sz w:val="20"/>
          <w:szCs w:val="20"/>
        </w:rPr>
      </w:pPr>
      <w:r w:rsidRPr="00103E56">
        <w:rPr>
          <w:rFonts w:asciiTheme="majorHAnsi" w:eastAsia="Times New Roman" w:hAnsiTheme="majorHAnsi" w:cs="Arial"/>
          <w:color w:val="000000"/>
          <w:sz w:val="20"/>
          <w:szCs w:val="20"/>
        </w:rPr>
        <w:t xml:space="preserve">Co-operation and participation of all employees, exhibitors, contractors and sub-contractors is essential to obtain high standards of safety practices. </w:t>
      </w:r>
    </w:p>
    <w:p w:rsidR="006D6C20" w:rsidRDefault="006D6C20" w:rsidP="006D6C20">
      <w:pPr>
        <w:jc w:val="both"/>
        <w:rPr>
          <w:rFonts w:asciiTheme="majorHAnsi" w:hAnsiTheme="majorHAnsi"/>
        </w:rPr>
      </w:pPr>
    </w:p>
    <w:p w:rsidR="006D6C20" w:rsidRDefault="006D6C20" w:rsidP="006D6C20">
      <w:pPr>
        <w:jc w:val="both"/>
        <w:rPr>
          <w:rFonts w:asciiTheme="majorHAnsi" w:hAnsiTheme="majorHAnsi"/>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b/>
                <w:sz w:val="20"/>
                <w:szCs w:val="20"/>
              </w:rPr>
            </w:pPr>
            <w:r>
              <w:rPr>
                <w:rFonts w:asciiTheme="majorHAnsi" w:hAnsiTheme="majorHAnsi"/>
                <w:b/>
                <w:sz w:val="28"/>
                <w:szCs w:val="28"/>
              </w:rPr>
              <w:t>How will this impact me</w:t>
            </w:r>
            <w:r w:rsidRPr="008653E8">
              <w:rPr>
                <w:rFonts w:asciiTheme="majorHAnsi" w:hAnsiTheme="majorHAnsi"/>
                <w:b/>
                <w:sz w:val="28"/>
                <w:szCs w:val="28"/>
              </w:rPr>
              <w:t>?</w:t>
            </w:r>
            <w:r>
              <w:rPr>
                <w:rFonts w:asciiTheme="majorHAnsi" w:hAnsiTheme="majorHAnsi"/>
                <w:b/>
                <w:sz w:val="28"/>
                <w:szCs w:val="28"/>
              </w:rPr>
              <w:t xml:space="preserve"> </w:t>
            </w:r>
          </w:p>
        </w:tc>
      </w:tr>
    </w:tbl>
    <w:p w:rsidR="006D6C20" w:rsidRDefault="006D6C20" w:rsidP="006D6C20">
      <w:pPr>
        <w:jc w:val="both"/>
        <w:rPr>
          <w:rFonts w:asciiTheme="majorHAnsi" w:hAnsiTheme="majorHAnsi"/>
          <w:sz w:val="20"/>
          <w:szCs w:val="20"/>
        </w:rPr>
      </w:pPr>
    </w:p>
    <w:p w:rsidR="006D6C20" w:rsidRPr="003027EC" w:rsidRDefault="006D6C20" w:rsidP="006D6C20">
      <w:pPr>
        <w:jc w:val="both"/>
        <w:rPr>
          <w:rFonts w:asciiTheme="majorHAnsi" w:hAnsiTheme="majorHAnsi"/>
          <w:sz w:val="20"/>
          <w:szCs w:val="20"/>
        </w:rPr>
      </w:pPr>
      <w:r>
        <w:rPr>
          <w:rFonts w:asciiTheme="majorHAnsi" w:hAnsiTheme="majorHAnsi"/>
          <w:sz w:val="20"/>
          <w:szCs w:val="20"/>
        </w:rPr>
        <w:t xml:space="preserve">Whilst the introduction of CDM into the events industry does mean changes all-round, we have tried to keep these processes as simple as possible. As this is such a new requirement, an outline of these processes has been provided to Organisers and from this they will decide how best to apply it to their shows. </w:t>
      </w:r>
      <w:r w:rsidR="006C58F4">
        <w:rPr>
          <w:rFonts w:asciiTheme="majorHAnsi" w:hAnsiTheme="majorHAnsi"/>
          <w:sz w:val="20"/>
          <w:szCs w:val="20"/>
        </w:rPr>
        <w:t>BRICK2015</w:t>
      </w:r>
      <w:r>
        <w:rPr>
          <w:rFonts w:asciiTheme="majorHAnsi" w:hAnsiTheme="majorHAnsi"/>
          <w:b/>
          <w:i/>
          <w:color w:val="FF0000"/>
          <w:sz w:val="20"/>
          <w:szCs w:val="20"/>
        </w:rPr>
        <w:t xml:space="preserve"> </w:t>
      </w:r>
      <w:r>
        <w:rPr>
          <w:rFonts w:asciiTheme="majorHAnsi" w:hAnsiTheme="majorHAnsi"/>
          <w:sz w:val="20"/>
          <w:szCs w:val="20"/>
        </w:rPr>
        <w:t>recognises that a number of their Exhibitors may exhibit at a number of their shows; so to ensure consistency they will be applying the same approach to each of their events. In practice you will notice the following changes:</w:t>
      </w:r>
    </w:p>
    <w:p w:rsidR="006D6C20" w:rsidRDefault="006D6C20" w:rsidP="006D6C20">
      <w:pPr>
        <w:jc w:val="both"/>
        <w:rPr>
          <w:rFonts w:asciiTheme="majorHAnsi" w:hAnsiTheme="majorHAnsi"/>
          <w:b/>
          <w:sz w:val="20"/>
          <w:szCs w:val="20"/>
        </w:rPr>
      </w:pPr>
    </w:p>
    <w:p w:rsidR="006D6C20" w:rsidRPr="004315E8" w:rsidRDefault="006D6C20" w:rsidP="006D6C20">
      <w:pPr>
        <w:pStyle w:val="ListParagraph"/>
        <w:numPr>
          <w:ilvl w:val="0"/>
          <w:numId w:val="2"/>
        </w:numPr>
        <w:jc w:val="both"/>
        <w:rPr>
          <w:rFonts w:asciiTheme="majorHAnsi" w:hAnsiTheme="majorHAnsi"/>
          <w:b/>
          <w:sz w:val="20"/>
          <w:szCs w:val="20"/>
        </w:rPr>
      </w:pPr>
      <w:r w:rsidRPr="004315E8">
        <w:rPr>
          <w:rFonts w:asciiTheme="majorHAnsi" w:hAnsiTheme="majorHAnsi"/>
          <w:b/>
          <w:sz w:val="20"/>
          <w:szCs w:val="20"/>
        </w:rPr>
        <w:t>Additions to your responsibilities</w:t>
      </w:r>
    </w:p>
    <w:p w:rsidR="006D6C20" w:rsidRPr="0072100C" w:rsidRDefault="006D6C20" w:rsidP="006D6C20">
      <w:pPr>
        <w:ind w:left="709"/>
        <w:jc w:val="both"/>
        <w:rPr>
          <w:rFonts w:asciiTheme="majorHAnsi" w:hAnsiTheme="majorHAnsi"/>
          <w:sz w:val="20"/>
          <w:szCs w:val="20"/>
        </w:rPr>
      </w:pPr>
      <w:r>
        <w:rPr>
          <w:rFonts w:asciiTheme="majorHAnsi" w:hAnsiTheme="majorHAnsi"/>
          <w:sz w:val="20"/>
          <w:szCs w:val="20"/>
        </w:rPr>
        <w:lastRenderedPageBreak/>
        <w:t xml:space="preserve">Most parties who will be present in the halls when CDM in operation should expect some additional responsibilities to have been put in place above those they would normally have. </w:t>
      </w:r>
    </w:p>
    <w:p w:rsidR="006D6C20" w:rsidRDefault="006D6C20" w:rsidP="006D6C20">
      <w:pPr>
        <w:jc w:val="both"/>
        <w:rPr>
          <w:rFonts w:asciiTheme="majorHAnsi" w:hAnsiTheme="majorHAnsi"/>
          <w:b/>
          <w:sz w:val="20"/>
          <w:szCs w:val="20"/>
        </w:rPr>
      </w:pPr>
    </w:p>
    <w:p w:rsidR="006D6C20" w:rsidRPr="004315E8" w:rsidRDefault="006D6C20" w:rsidP="006D6C20">
      <w:pPr>
        <w:pStyle w:val="ListParagraph"/>
        <w:numPr>
          <w:ilvl w:val="0"/>
          <w:numId w:val="2"/>
        </w:numPr>
        <w:jc w:val="both"/>
        <w:rPr>
          <w:rFonts w:asciiTheme="majorHAnsi" w:hAnsiTheme="majorHAnsi"/>
          <w:b/>
          <w:sz w:val="20"/>
          <w:szCs w:val="20"/>
        </w:rPr>
      </w:pPr>
      <w:r w:rsidRPr="004315E8">
        <w:rPr>
          <w:rFonts w:asciiTheme="majorHAnsi" w:hAnsiTheme="majorHAnsi"/>
          <w:b/>
          <w:sz w:val="20"/>
          <w:szCs w:val="20"/>
        </w:rPr>
        <w:t>Paperwork to be submitted</w:t>
      </w:r>
    </w:p>
    <w:p w:rsidR="006D6C20" w:rsidRDefault="006D6C20" w:rsidP="006D6C20">
      <w:pPr>
        <w:ind w:left="709"/>
        <w:jc w:val="both"/>
        <w:rPr>
          <w:rFonts w:asciiTheme="majorHAnsi" w:hAnsiTheme="majorHAnsi"/>
          <w:sz w:val="20"/>
          <w:szCs w:val="20"/>
        </w:rPr>
      </w:pPr>
      <w:r>
        <w:rPr>
          <w:rFonts w:asciiTheme="majorHAnsi" w:hAnsiTheme="majorHAnsi"/>
          <w:sz w:val="20"/>
          <w:szCs w:val="20"/>
        </w:rPr>
        <w:t xml:space="preserve">For those who are affected by CDM  (please see information below to see if you will be affected or not), there may be additional paperwork to be completed dependent on the type of stand you have. </w:t>
      </w:r>
    </w:p>
    <w:p w:rsidR="006D6C20" w:rsidRPr="006D161F" w:rsidRDefault="006D6C20" w:rsidP="006D6C20">
      <w:pPr>
        <w:jc w:val="both"/>
        <w:rPr>
          <w:rFonts w:asciiTheme="majorHAnsi" w:hAnsiTheme="majorHAnsi"/>
          <w:sz w:val="20"/>
          <w:szCs w:val="20"/>
        </w:rPr>
      </w:pPr>
    </w:p>
    <w:p w:rsidR="006D6C20" w:rsidRPr="004315E8" w:rsidRDefault="006D6C20" w:rsidP="006D6C20">
      <w:pPr>
        <w:pStyle w:val="ListParagraph"/>
        <w:numPr>
          <w:ilvl w:val="0"/>
          <w:numId w:val="2"/>
        </w:numPr>
        <w:jc w:val="both"/>
        <w:rPr>
          <w:rFonts w:asciiTheme="majorHAnsi" w:hAnsiTheme="majorHAnsi"/>
          <w:b/>
          <w:sz w:val="20"/>
          <w:szCs w:val="20"/>
        </w:rPr>
      </w:pPr>
      <w:r w:rsidRPr="004315E8">
        <w:rPr>
          <w:rFonts w:asciiTheme="majorHAnsi" w:hAnsiTheme="majorHAnsi"/>
          <w:b/>
          <w:sz w:val="20"/>
          <w:szCs w:val="20"/>
        </w:rPr>
        <w:t>How build &amp; breakdown will be controlled</w:t>
      </w:r>
    </w:p>
    <w:p w:rsidR="006D6C20" w:rsidRDefault="006D6C20" w:rsidP="006D6C20">
      <w:pPr>
        <w:ind w:left="709"/>
        <w:jc w:val="both"/>
        <w:rPr>
          <w:rFonts w:asciiTheme="majorHAnsi" w:hAnsiTheme="majorHAnsi"/>
          <w:sz w:val="20"/>
          <w:szCs w:val="20"/>
        </w:rPr>
      </w:pPr>
      <w:r>
        <w:rPr>
          <w:rFonts w:asciiTheme="majorHAnsi" w:hAnsiTheme="majorHAnsi"/>
          <w:sz w:val="20"/>
          <w:szCs w:val="20"/>
        </w:rPr>
        <w:t xml:space="preserve">As with a normal building site in the construction industry, access into the halls (CDM site) will be tighter. Anyone wanting to gain access into the halls when CDM is in operation will need to have read the Site Induction document to obtain a wristband, which will permit them access into the halls. Further details have been provided below. </w:t>
      </w:r>
    </w:p>
    <w:p w:rsidR="006D6C20" w:rsidRPr="006D161F" w:rsidRDefault="006D6C20" w:rsidP="006D6C20">
      <w:pPr>
        <w:jc w:val="both"/>
        <w:rPr>
          <w:rFonts w:asciiTheme="majorHAnsi" w:hAnsiTheme="majorHAnsi"/>
          <w:sz w:val="20"/>
          <w:szCs w:val="20"/>
        </w:rPr>
      </w:pPr>
    </w:p>
    <w:p w:rsidR="006D6C20" w:rsidRPr="004315E8" w:rsidRDefault="006D6C20" w:rsidP="006D6C20">
      <w:pPr>
        <w:pStyle w:val="ListParagraph"/>
        <w:numPr>
          <w:ilvl w:val="0"/>
          <w:numId w:val="2"/>
        </w:numPr>
        <w:jc w:val="both"/>
        <w:rPr>
          <w:rFonts w:asciiTheme="majorHAnsi" w:hAnsiTheme="majorHAnsi"/>
          <w:b/>
          <w:sz w:val="20"/>
          <w:szCs w:val="20"/>
        </w:rPr>
      </w:pPr>
      <w:r w:rsidRPr="004315E8">
        <w:rPr>
          <w:rFonts w:asciiTheme="majorHAnsi" w:hAnsiTheme="majorHAnsi"/>
          <w:b/>
          <w:sz w:val="20"/>
          <w:szCs w:val="20"/>
        </w:rPr>
        <w:t>Improved communication of relevant information</w:t>
      </w:r>
    </w:p>
    <w:p w:rsidR="006D6C20" w:rsidRPr="0073199F" w:rsidRDefault="006D6C20" w:rsidP="006D6C20">
      <w:pPr>
        <w:pStyle w:val="ListParagraph"/>
        <w:jc w:val="both"/>
        <w:rPr>
          <w:rFonts w:asciiTheme="majorHAnsi" w:hAnsiTheme="majorHAnsi"/>
          <w:sz w:val="20"/>
          <w:szCs w:val="20"/>
        </w:rPr>
      </w:pPr>
      <w:r>
        <w:rPr>
          <w:rFonts w:asciiTheme="majorHAnsi" w:hAnsiTheme="majorHAnsi"/>
          <w:sz w:val="20"/>
          <w:szCs w:val="20"/>
        </w:rPr>
        <w:t xml:space="preserve">The introduction of the CDM process should hopefully mean that you should notice an improvement in communication and information between Organisers, Exhibitors and Contractors. This is to help improve general levels of H&amp;S and welfare within the Build and Breakdown period. </w:t>
      </w:r>
    </w:p>
    <w:p w:rsidR="006D6C20" w:rsidRDefault="006D6C20" w:rsidP="006D6C20">
      <w:pPr>
        <w:jc w:val="both"/>
        <w:rPr>
          <w:rFonts w:asciiTheme="majorHAnsi" w:hAnsiTheme="majorHAnsi"/>
          <w:b/>
          <w:sz w:val="20"/>
          <w:szCs w:val="20"/>
        </w:rPr>
      </w:pPr>
    </w:p>
    <w:p w:rsidR="006D6C20" w:rsidRPr="0073199F" w:rsidRDefault="006D6C20" w:rsidP="006D6C20">
      <w:pPr>
        <w:jc w:val="both"/>
        <w:rPr>
          <w:rFonts w:asciiTheme="majorHAnsi" w:hAnsiTheme="majorHAnsi"/>
          <w:sz w:val="20"/>
          <w:szCs w:val="20"/>
        </w:rPr>
      </w:pPr>
      <w:r>
        <w:rPr>
          <w:rFonts w:asciiTheme="majorHAnsi" w:hAnsiTheme="majorHAnsi"/>
          <w:sz w:val="20"/>
          <w:szCs w:val="20"/>
        </w:rPr>
        <w:t>Depending on whether you are a Space Only Exhibitor, Shell Scheme Exhibitor or Contractor will determine what level of impact CDM will have on your Build, Breakdown and pre-show process. A quick breakdown for each is as follows:</w:t>
      </w:r>
    </w:p>
    <w:p w:rsidR="006D6C20" w:rsidRDefault="006D6C20" w:rsidP="006D6C20">
      <w:pPr>
        <w:jc w:val="both"/>
        <w:rPr>
          <w:rFonts w:asciiTheme="majorHAnsi" w:hAnsiTheme="majorHAnsi"/>
          <w:b/>
          <w:sz w:val="20"/>
          <w:szCs w:val="20"/>
        </w:rPr>
      </w:pPr>
    </w:p>
    <w:tbl>
      <w:tblPr>
        <w:tblStyle w:val="TableGrid"/>
        <w:tblW w:w="0" w:type="auto"/>
        <w:tblInd w:w="108" w:type="dxa"/>
        <w:tblLook w:val="04A0" w:firstRow="1" w:lastRow="0" w:firstColumn="1" w:lastColumn="0" w:noHBand="0" w:noVBand="1"/>
      </w:tblPr>
      <w:tblGrid>
        <w:gridCol w:w="2268"/>
        <w:gridCol w:w="7797"/>
      </w:tblGrid>
      <w:tr w:rsidR="006D6C20" w:rsidTr="00F16E3C">
        <w:trPr>
          <w:trHeight w:val="3846"/>
        </w:trPr>
        <w:tc>
          <w:tcPr>
            <w:tcW w:w="2268" w:type="dxa"/>
            <w:shd w:val="clear" w:color="auto" w:fill="7F7F7F" w:themeFill="text1" w:themeFillTint="80"/>
            <w:vAlign w:val="center"/>
          </w:tcPr>
          <w:p w:rsidR="006D6C20" w:rsidRPr="002F3AE7" w:rsidRDefault="006D6C20" w:rsidP="00F16E3C">
            <w:pPr>
              <w:rPr>
                <w:rFonts w:asciiTheme="majorHAnsi" w:hAnsiTheme="majorHAnsi"/>
                <w:b/>
                <w:color w:val="FFFFFF" w:themeColor="background1"/>
                <w:sz w:val="20"/>
                <w:szCs w:val="20"/>
              </w:rPr>
            </w:pPr>
            <w:r>
              <w:rPr>
                <w:rFonts w:asciiTheme="majorHAnsi" w:hAnsiTheme="majorHAnsi"/>
                <w:b/>
                <w:color w:val="FFFFFF" w:themeColor="background1"/>
                <w:sz w:val="20"/>
                <w:szCs w:val="20"/>
              </w:rPr>
              <w:t>Shell Scheme Exhibitors</w:t>
            </w:r>
          </w:p>
        </w:tc>
        <w:tc>
          <w:tcPr>
            <w:tcW w:w="7797" w:type="dxa"/>
            <w:vAlign w:val="center"/>
          </w:tcPr>
          <w:p w:rsidR="006D6C20" w:rsidRDefault="006D6C20" w:rsidP="00F16E3C">
            <w:pPr>
              <w:rPr>
                <w:rFonts w:asciiTheme="majorHAnsi" w:hAnsiTheme="majorHAnsi"/>
                <w:sz w:val="20"/>
                <w:szCs w:val="20"/>
              </w:rPr>
            </w:pPr>
            <w:r>
              <w:rPr>
                <w:rFonts w:asciiTheme="majorHAnsi" w:hAnsiTheme="majorHAnsi"/>
                <w:sz w:val="20"/>
                <w:szCs w:val="20"/>
              </w:rPr>
              <w:t xml:space="preserve">As a Shell Scheme Exhibitor, these changes may or may not affect you dependent on what you need to do to get your stand ready. </w:t>
            </w:r>
          </w:p>
          <w:p w:rsidR="006D6C20" w:rsidRPr="00FE61D5" w:rsidRDefault="006D6C20" w:rsidP="00F16E3C">
            <w:pPr>
              <w:rPr>
                <w:rFonts w:asciiTheme="majorHAnsi" w:hAnsiTheme="majorHAnsi"/>
                <w:sz w:val="10"/>
                <w:szCs w:val="10"/>
              </w:rPr>
            </w:pPr>
          </w:p>
          <w:p w:rsidR="006D6C20" w:rsidRDefault="006D6C20" w:rsidP="00F16E3C">
            <w:pPr>
              <w:rPr>
                <w:rFonts w:asciiTheme="majorHAnsi" w:hAnsiTheme="majorHAnsi"/>
                <w:sz w:val="20"/>
                <w:szCs w:val="20"/>
              </w:rPr>
            </w:pPr>
            <w:r>
              <w:rPr>
                <w:rFonts w:asciiTheme="majorHAnsi" w:hAnsiTheme="majorHAnsi"/>
                <w:sz w:val="20"/>
                <w:szCs w:val="20"/>
              </w:rPr>
              <w:t xml:space="preserve">If you simply need to access the hall during the ‘Standard Shell Set-up Time’, you do not have to worry about CDM. During the ‘Standard Shell Set-up Time’, CDM will not be in operation and therefore there will be no changes to the Build process. You may however find there are slight changes to the Breakdown period, whereby dismantling of your stand itself will not be able to take place straight away. If you want to avoid the CDM process, you will have to ensure that you have packed up your stand within the allotted time before CDM comes into effect on the first night of breakdown. These timings can be found in the </w:t>
            </w:r>
            <w:r w:rsidRPr="00DB63C3">
              <w:rPr>
                <w:rFonts w:asciiTheme="majorHAnsi" w:hAnsiTheme="majorHAnsi"/>
                <w:b/>
                <w:color w:val="0000FF"/>
                <w:sz w:val="20"/>
                <w:szCs w:val="20"/>
                <w:u w:val="single"/>
              </w:rPr>
              <w:t>Site Induction Document</w:t>
            </w:r>
            <w:r>
              <w:rPr>
                <w:rFonts w:asciiTheme="majorHAnsi" w:hAnsiTheme="majorHAnsi"/>
                <w:sz w:val="20"/>
                <w:szCs w:val="20"/>
              </w:rPr>
              <w:t xml:space="preserve"> below (in the ‘Useful Documents’ section). </w:t>
            </w:r>
          </w:p>
          <w:p w:rsidR="006D6C20" w:rsidRPr="00FE61D5" w:rsidRDefault="006D6C20" w:rsidP="00F16E3C">
            <w:pPr>
              <w:rPr>
                <w:rFonts w:asciiTheme="majorHAnsi" w:hAnsiTheme="majorHAnsi"/>
                <w:sz w:val="10"/>
                <w:szCs w:val="10"/>
              </w:rPr>
            </w:pPr>
          </w:p>
          <w:p w:rsidR="006D6C20" w:rsidRPr="00FE61D5" w:rsidRDefault="006D6C20" w:rsidP="00F16E3C">
            <w:pPr>
              <w:rPr>
                <w:rFonts w:asciiTheme="majorHAnsi" w:hAnsiTheme="majorHAnsi"/>
                <w:sz w:val="20"/>
                <w:szCs w:val="20"/>
              </w:rPr>
            </w:pPr>
            <w:r>
              <w:rPr>
                <w:rFonts w:asciiTheme="majorHAnsi" w:hAnsiTheme="majorHAnsi"/>
                <w:sz w:val="20"/>
                <w:szCs w:val="20"/>
              </w:rPr>
              <w:t xml:space="preserve">If however you need to construct or build something within your stand, then CDM </w:t>
            </w:r>
            <w:r>
              <w:rPr>
                <w:rFonts w:asciiTheme="majorHAnsi" w:hAnsiTheme="majorHAnsi"/>
                <w:b/>
                <w:sz w:val="20"/>
                <w:szCs w:val="20"/>
                <w:u w:val="single"/>
              </w:rPr>
              <w:t>WILL</w:t>
            </w:r>
            <w:r>
              <w:rPr>
                <w:rFonts w:asciiTheme="majorHAnsi" w:hAnsiTheme="majorHAnsi"/>
                <w:sz w:val="20"/>
                <w:szCs w:val="20"/>
              </w:rPr>
              <w:t xml:space="preserve"> apply to you. If this is the case, you will need to read the </w:t>
            </w:r>
            <w:r w:rsidRPr="00FE61D5">
              <w:rPr>
                <w:rFonts w:asciiTheme="majorHAnsi" w:hAnsiTheme="majorHAnsi"/>
                <w:b/>
                <w:color w:val="0000FF"/>
                <w:sz w:val="20"/>
                <w:szCs w:val="20"/>
                <w:u w:val="single"/>
              </w:rPr>
              <w:t xml:space="preserve">Site </w:t>
            </w:r>
            <w:r w:rsidRPr="00D15634">
              <w:rPr>
                <w:rFonts w:asciiTheme="majorHAnsi" w:hAnsiTheme="majorHAnsi"/>
                <w:b/>
                <w:color w:val="0000FF"/>
                <w:sz w:val="20"/>
                <w:szCs w:val="20"/>
                <w:u w:val="single"/>
              </w:rPr>
              <w:t>Induction Document</w:t>
            </w:r>
            <w:r>
              <w:rPr>
                <w:rFonts w:asciiTheme="majorHAnsi" w:hAnsiTheme="majorHAnsi"/>
                <w:sz w:val="20"/>
                <w:szCs w:val="20"/>
              </w:rPr>
              <w:t xml:space="preserve"> (included in the ‘Useful Documents’ section below) and complete the ‘</w:t>
            </w:r>
            <w:r w:rsidRPr="00FE61D5">
              <w:rPr>
                <w:rFonts w:asciiTheme="majorHAnsi" w:hAnsiTheme="majorHAnsi"/>
                <w:b/>
                <w:color w:val="0000FF"/>
                <w:sz w:val="20"/>
                <w:szCs w:val="20"/>
                <w:u w:val="single"/>
              </w:rPr>
              <w:t>Acknowledgement of Site Induction</w:t>
            </w:r>
            <w:r>
              <w:rPr>
                <w:rFonts w:asciiTheme="majorHAnsi" w:hAnsiTheme="majorHAnsi"/>
                <w:sz w:val="20"/>
                <w:szCs w:val="20"/>
              </w:rPr>
              <w:t>’ form in the ‘</w:t>
            </w:r>
            <w:r w:rsidRPr="00FE61D5">
              <w:rPr>
                <w:rFonts w:asciiTheme="majorHAnsi" w:hAnsiTheme="majorHAnsi"/>
                <w:b/>
                <w:color w:val="0000FF"/>
                <w:sz w:val="20"/>
                <w:szCs w:val="20"/>
                <w:u w:val="single"/>
              </w:rPr>
              <w:t>Forms</w:t>
            </w:r>
            <w:r>
              <w:rPr>
                <w:rFonts w:asciiTheme="majorHAnsi" w:hAnsiTheme="majorHAnsi"/>
                <w:sz w:val="20"/>
                <w:szCs w:val="20"/>
              </w:rPr>
              <w:t xml:space="preserve">’ section of this manual. </w:t>
            </w:r>
          </w:p>
        </w:tc>
      </w:tr>
      <w:tr w:rsidR="006D6C20" w:rsidTr="00F16E3C">
        <w:trPr>
          <w:trHeight w:val="1121"/>
        </w:trPr>
        <w:tc>
          <w:tcPr>
            <w:tcW w:w="2268" w:type="dxa"/>
            <w:shd w:val="clear" w:color="auto" w:fill="7F7F7F" w:themeFill="text1" w:themeFillTint="80"/>
            <w:vAlign w:val="center"/>
          </w:tcPr>
          <w:p w:rsidR="006D6C20" w:rsidRPr="002F3AE7" w:rsidRDefault="006D6C20" w:rsidP="00F16E3C">
            <w:pPr>
              <w:rPr>
                <w:rFonts w:asciiTheme="majorHAnsi" w:hAnsiTheme="majorHAnsi"/>
                <w:b/>
                <w:color w:val="FFFFFF" w:themeColor="background1"/>
                <w:sz w:val="20"/>
                <w:szCs w:val="20"/>
              </w:rPr>
            </w:pPr>
            <w:r>
              <w:rPr>
                <w:rFonts w:asciiTheme="majorHAnsi" w:hAnsiTheme="majorHAnsi"/>
                <w:b/>
                <w:color w:val="FFFFFF" w:themeColor="background1"/>
                <w:sz w:val="20"/>
                <w:szCs w:val="20"/>
              </w:rPr>
              <w:t>Space Only Exhibitors</w:t>
            </w:r>
          </w:p>
        </w:tc>
        <w:tc>
          <w:tcPr>
            <w:tcW w:w="7797" w:type="dxa"/>
            <w:vAlign w:val="center"/>
          </w:tcPr>
          <w:p w:rsidR="006D6C20" w:rsidRPr="002F3AE7" w:rsidRDefault="006D6C20" w:rsidP="00F16E3C">
            <w:pPr>
              <w:rPr>
                <w:rFonts w:asciiTheme="majorHAnsi" w:hAnsiTheme="majorHAnsi"/>
                <w:sz w:val="20"/>
                <w:szCs w:val="20"/>
              </w:rPr>
            </w:pPr>
            <w:r>
              <w:rPr>
                <w:rFonts w:asciiTheme="majorHAnsi" w:hAnsiTheme="majorHAnsi"/>
                <w:sz w:val="20"/>
                <w:szCs w:val="20"/>
              </w:rPr>
              <w:t xml:space="preserve">As a Space Only Exhibitor, there will be additional documents you will need to submit pre-show and changes to your responsibilities. Please read the </w:t>
            </w:r>
            <w:r w:rsidRPr="00DB63C3">
              <w:rPr>
                <w:rFonts w:asciiTheme="majorHAnsi" w:hAnsiTheme="majorHAnsi"/>
                <w:b/>
                <w:color w:val="0000FF"/>
                <w:sz w:val="20"/>
                <w:szCs w:val="20"/>
                <w:u w:val="single"/>
              </w:rPr>
              <w:t>Appendix 9 – CDM Information &amp; Instruction for Space Only Exhibitors</w:t>
            </w:r>
            <w:r>
              <w:rPr>
                <w:rFonts w:asciiTheme="majorHAnsi" w:hAnsiTheme="majorHAnsi"/>
                <w:sz w:val="20"/>
                <w:szCs w:val="20"/>
              </w:rPr>
              <w:t xml:space="preserve"> document included in the ‘Useful Documents’ section below, which will talk you through everything you need to know and do. </w:t>
            </w:r>
          </w:p>
        </w:tc>
      </w:tr>
      <w:tr w:rsidR="006D6C20" w:rsidTr="00F16E3C">
        <w:trPr>
          <w:trHeight w:val="1123"/>
        </w:trPr>
        <w:tc>
          <w:tcPr>
            <w:tcW w:w="2268" w:type="dxa"/>
            <w:shd w:val="clear" w:color="auto" w:fill="7F7F7F" w:themeFill="text1" w:themeFillTint="80"/>
            <w:vAlign w:val="center"/>
          </w:tcPr>
          <w:p w:rsidR="006D6C20" w:rsidRPr="002F3AE7" w:rsidRDefault="006D6C20" w:rsidP="00F16E3C">
            <w:pPr>
              <w:rPr>
                <w:rFonts w:asciiTheme="majorHAnsi" w:hAnsiTheme="majorHAnsi"/>
                <w:b/>
                <w:color w:val="FFFFFF" w:themeColor="background1"/>
                <w:sz w:val="20"/>
                <w:szCs w:val="20"/>
              </w:rPr>
            </w:pPr>
            <w:r>
              <w:rPr>
                <w:rFonts w:asciiTheme="majorHAnsi" w:hAnsiTheme="majorHAnsi"/>
                <w:b/>
                <w:color w:val="FFFFFF" w:themeColor="background1"/>
                <w:sz w:val="20"/>
                <w:szCs w:val="20"/>
              </w:rPr>
              <w:t>Space Only Contractors</w:t>
            </w:r>
          </w:p>
        </w:tc>
        <w:tc>
          <w:tcPr>
            <w:tcW w:w="7797" w:type="dxa"/>
            <w:vAlign w:val="center"/>
          </w:tcPr>
          <w:p w:rsidR="006D6C20" w:rsidRPr="002F3AE7" w:rsidRDefault="006D6C20" w:rsidP="00F16E3C">
            <w:pPr>
              <w:rPr>
                <w:rFonts w:asciiTheme="majorHAnsi" w:hAnsiTheme="majorHAnsi"/>
                <w:sz w:val="20"/>
                <w:szCs w:val="20"/>
              </w:rPr>
            </w:pPr>
            <w:r>
              <w:rPr>
                <w:rFonts w:asciiTheme="majorHAnsi" w:hAnsiTheme="majorHAnsi"/>
                <w:sz w:val="20"/>
                <w:szCs w:val="20"/>
              </w:rPr>
              <w:t xml:space="preserve">As a Space Only Contractor, there will be additional documents you will need to submit pre-show and changes to your responsibilities. Please read the </w:t>
            </w:r>
            <w:r w:rsidRPr="00DB63C3">
              <w:rPr>
                <w:rFonts w:asciiTheme="majorHAnsi" w:hAnsiTheme="majorHAnsi"/>
                <w:b/>
                <w:color w:val="0000FF"/>
                <w:sz w:val="20"/>
                <w:szCs w:val="20"/>
                <w:u w:val="single"/>
              </w:rPr>
              <w:t>Appendix 10 – CDM Information &amp; Instruction for Space Only Contractors</w:t>
            </w:r>
            <w:r>
              <w:rPr>
                <w:rFonts w:asciiTheme="majorHAnsi" w:hAnsiTheme="majorHAnsi"/>
                <w:sz w:val="20"/>
                <w:szCs w:val="20"/>
              </w:rPr>
              <w:t xml:space="preserve"> document included in the ‘Useful Documents’ section below, which will talk you through everything you need to know and do.</w:t>
            </w:r>
          </w:p>
        </w:tc>
      </w:tr>
    </w:tbl>
    <w:p w:rsidR="006D6C20" w:rsidRDefault="006D6C20" w:rsidP="006D6C20">
      <w:pPr>
        <w:jc w:val="both"/>
        <w:rPr>
          <w:rFonts w:asciiTheme="majorHAnsi" w:hAnsiTheme="majorHAnsi"/>
          <w:b/>
          <w:sz w:val="20"/>
          <w:szCs w:val="20"/>
        </w:rPr>
      </w:pPr>
    </w:p>
    <w:p w:rsidR="006D6C20" w:rsidRDefault="006D6C20" w:rsidP="006D6C20">
      <w:pPr>
        <w:jc w:val="both"/>
        <w:rPr>
          <w:rFonts w:asciiTheme="majorHAnsi" w:hAnsiTheme="majorHAnsi"/>
          <w:b/>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b/>
                <w:sz w:val="28"/>
                <w:szCs w:val="28"/>
              </w:rPr>
            </w:pPr>
            <w:r w:rsidRPr="0042520E">
              <w:rPr>
                <w:rFonts w:asciiTheme="majorHAnsi" w:hAnsiTheme="majorHAnsi"/>
                <w:b/>
                <w:sz w:val="28"/>
                <w:szCs w:val="28"/>
              </w:rPr>
              <w:t>What will happen on site?</w:t>
            </w:r>
            <w:r>
              <w:rPr>
                <w:rFonts w:asciiTheme="majorHAnsi" w:hAnsiTheme="majorHAnsi"/>
                <w:b/>
                <w:sz w:val="28"/>
                <w:szCs w:val="28"/>
              </w:rPr>
              <w:t xml:space="preserve"> </w:t>
            </w:r>
          </w:p>
        </w:tc>
      </w:tr>
    </w:tbl>
    <w:p w:rsidR="006D6C20" w:rsidRDefault="006D6C20" w:rsidP="006D6C20">
      <w:pPr>
        <w:jc w:val="both"/>
        <w:rPr>
          <w:rFonts w:asciiTheme="majorHAnsi" w:hAnsiTheme="majorHAnsi"/>
          <w:b/>
          <w:sz w:val="20"/>
          <w:szCs w:val="20"/>
        </w:rPr>
      </w:pPr>
    </w:p>
    <w:p w:rsidR="006D6C20" w:rsidRPr="00C62DE5" w:rsidRDefault="006D6C20" w:rsidP="006D6C20">
      <w:pPr>
        <w:jc w:val="both"/>
        <w:rPr>
          <w:rFonts w:asciiTheme="majorHAnsi" w:hAnsiTheme="majorHAnsi"/>
          <w:szCs w:val="20"/>
        </w:rPr>
      </w:pPr>
      <w:r w:rsidRPr="00C62DE5">
        <w:rPr>
          <w:rFonts w:asciiTheme="majorHAnsi" w:hAnsiTheme="majorHAnsi"/>
          <w:b/>
          <w:szCs w:val="20"/>
        </w:rPr>
        <w:t>Lorry park operation as normal</w:t>
      </w:r>
    </w:p>
    <w:p w:rsidR="006D6C20" w:rsidRDefault="006D6C20" w:rsidP="006D6C20">
      <w:pPr>
        <w:jc w:val="both"/>
        <w:rPr>
          <w:rFonts w:asciiTheme="majorHAnsi" w:hAnsiTheme="majorHAnsi"/>
          <w:sz w:val="20"/>
          <w:szCs w:val="20"/>
        </w:rPr>
      </w:pPr>
      <w:r>
        <w:rPr>
          <w:rFonts w:asciiTheme="majorHAnsi" w:hAnsiTheme="majorHAnsi"/>
          <w:sz w:val="20"/>
          <w:szCs w:val="20"/>
        </w:rPr>
        <w:t xml:space="preserve">You should not notice a difference to the Traffic operation on site and vehicles will be able to access the halls as normal. </w:t>
      </w:r>
    </w:p>
    <w:p w:rsidR="006D6C20" w:rsidRDefault="006D6C20" w:rsidP="006D6C20">
      <w:pPr>
        <w:jc w:val="both"/>
        <w:rPr>
          <w:rFonts w:asciiTheme="majorHAnsi" w:hAnsiTheme="majorHAnsi"/>
          <w:sz w:val="20"/>
          <w:szCs w:val="20"/>
        </w:rPr>
      </w:pPr>
    </w:p>
    <w:p w:rsidR="006D6C20" w:rsidRPr="00EE5D98" w:rsidRDefault="006D6C20" w:rsidP="006D6C20">
      <w:pPr>
        <w:jc w:val="both"/>
        <w:rPr>
          <w:rFonts w:asciiTheme="majorHAnsi" w:hAnsiTheme="majorHAnsi"/>
          <w:sz w:val="20"/>
          <w:szCs w:val="20"/>
        </w:rPr>
      </w:pPr>
    </w:p>
    <w:p w:rsidR="006D6C20" w:rsidRPr="00C62DE5" w:rsidRDefault="006D6C20" w:rsidP="006D6C20">
      <w:pPr>
        <w:jc w:val="both"/>
        <w:rPr>
          <w:rFonts w:asciiTheme="majorHAnsi" w:hAnsiTheme="majorHAnsi"/>
          <w:szCs w:val="20"/>
        </w:rPr>
      </w:pPr>
      <w:r w:rsidRPr="00C62DE5">
        <w:rPr>
          <w:rFonts w:asciiTheme="majorHAnsi" w:hAnsiTheme="majorHAnsi"/>
          <w:b/>
          <w:szCs w:val="20"/>
        </w:rPr>
        <w:t>New Controls for Access into the Halls</w:t>
      </w:r>
    </w:p>
    <w:p w:rsidR="006D6C20" w:rsidRDefault="006D6C20" w:rsidP="006D6C20">
      <w:pPr>
        <w:jc w:val="both"/>
        <w:rPr>
          <w:rFonts w:asciiTheme="majorHAnsi" w:hAnsiTheme="majorHAnsi"/>
          <w:sz w:val="20"/>
          <w:szCs w:val="20"/>
        </w:rPr>
      </w:pPr>
      <w:r>
        <w:rPr>
          <w:rFonts w:asciiTheme="majorHAnsi" w:hAnsiTheme="majorHAnsi"/>
          <w:sz w:val="20"/>
          <w:szCs w:val="20"/>
        </w:rPr>
        <w:t xml:space="preserve">When CDM is in operation, it is important that we control access into the halls and only allow admittance to those who have completed the Site Induction. This is done </w:t>
      </w:r>
      <w:r w:rsidRPr="00EE5D98">
        <w:rPr>
          <w:rFonts w:asciiTheme="majorHAnsi" w:hAnsiTheme="majorHAnsi"/>
          <w:b/>
          <w:sz w:val="20"/>
          <w:szCs w:val="20"/>
          <w:u w:val="single"/>
        </w:rPr>
        <w:t>BEFORE COMING ONTO SITE</w:t>
      </w:r>
      <w:r>
        <w:rPr>
          <w:rFonts w:asciiTheme="majorHAnsi" w:hAnsiTheme="majorHAnsi"/>
          <w:sz w:val="20"/>
          <w:szCs w:val="20"/>
        </w:rPr>
        <w:t xml:space="preserve"> by reading and acknowledging that you have read the </w:t>
      </w:r>
      <w:r w:rsidRPr="00EE5D98">
        <w:rPr>
          <w:rFonts w:asciiTheme="majorHAnsi" w:hAnsiTheme="majorHAnsi"/>
          <w:b/>
          <w:color w:val="0000FF"/>
          <w:sz w:val="20"/>
          <w:szCs w:val="20"/>
          <w:u w:val="single"/>
        </w:rPr>
        <w:t>Site Induction Document</w:t>
      </w:r>
      <w:r>
        <w:rPr>
          <w:rFonts w:asciiTheme="majorHAnsi" w:hAnsiTheme="majorHAnsi"/>
          <w:sz w:val="20"/>
          <w:szCs w:val="20"/>
        </w:rPr>
        <w:t xml:space="preserve"> in the ‘Useful Documents’ section below. This will be applicable to all </w:t>
      </w:r>
      <w:r>
        <w:rPr>
          <w:rFonts w:asciiTheme="majorHAnsi" w:hAnsiTheme="majorHAnsi"/>
          <w:sz w:val="20"/>
          <w:szCs w:val="20"/>
        </w:rPr>
        <w:lastRenderedPageBreak/>
        <w:t>personnel requiring access to the halls during CDM and actions will be taken for those who do not follow this process. There will be limited opportunities for the Site Induction to be completed on site and as such it is imperative that this is done in advance of build commencing. Please expect severe delays to your Build if you do not complete the Site Induction in advance.</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 xml:space="preserve">Access into the halls when CDM is in operation will be on production of a valid wristband. On arrival to site during Build, a representative from your stand should attend the Site Induction Area located in the Lorryway and collect the wristbands for all members of your team – this is the same for both Contractors &amp; Exhibitors. Further information on how to collect your wristbands can be found in your relevant CMD Information document and </w:t>
      </w:r>
      <w:r w:rsidRPr="00E16934">
        <w:rPr>
          <w:rFonts w:asciiTheme="majorHAnsi" w:hAnsiTheme="majorHAnsi"/>
          <w:b/>
          <w:color w:val="0000FF"/>
          <w:sz w:val="20"/>
          <w:szCs w:val="20"/>
          <w:u w:val="single"/>
        </w:rPr>
        <w:t>Appendix 11 – Site Access &amp; Wristband FAQs document</w:t>
      </w:r>
      <w:r>
        <w:rPr>
          <w:rFonts w:asciiTheme="majorHAnsi" w:hAnsiTheme="majorHAnsi"/>
          <w:sz w:val="20"/>
          <w:szCs w:val="20"/>
        </w:rPr>
        <w:t xml:space="preserve"> in the ‘Useful Documents’ section below.</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p>
    <w:p w:rsidR="006D6C20" w:rsidRPr="00C62DE5" w:rsidRDefault="006D6C20" w:rsidP="006D6C20">
      <w:pPr>
        <w:jc w:val="both"/>
        <w:rPr>
          <w:rFonts w:asciiTheme="majorHAnsi" w:hAnsiTheme="majorHAnsi"/>
          <w:szCs w:val="20"/>
        </w:rPr>
      </w:pPr>
      <w:r w:rsidRPr="00C62DE5">
        <w:rPr>
          <w:rFonts w:asciiTheme="majorHAnsi" w:hAnsiTheme="majorHAnsi"/>
          <w:b/>
          <w:szCs w:val="20"/>
        </w:rPr>
        <w:t>Zoning of the Halls &amp; Outside Areas</w:t>
      </w:r>
    </w:p>
    <w:p w:rsidR="006D6C20" w:rsidRPr="00F201D2" w:rsidRDefault="006D6C20" w:rsidP="006D6C20">
      <w:pPr>
        <w:jc w:val="both"/>
        <w:rPr>
          <w:rFonts w:asciiTheme="majorHAnsi" w:hAnsiTheme="majorHAnsi"/>
          <w:sz w:val="20"/>
          <w:szCs w:val="20"/>
        </w:rPr>
      </w:pPr>
      <w:r>
        <w:rPr>
          <w:rFonts w:asciiTheme="majorHAnsi" w:hAnsiTheme="majorHAnsi"/>
          <w:sz w:val="20"/>
          <w:szCs w:val="20"/>
        </w:rPr>
        <w:t xml:space="preserve">When CDM is in operation, the halls and the areas in the immediate vicinity will be zoned to help everyone identify what level of activity is taking place in each area and what Personal Protective Equipment (PPE) is required in each zone. Full details on Zoning and PPE can be found in the </w:t>
      </w:r>
      <w:r w:rsidRPr="00F201D2">
        <w:rPr>
          <w:rFonts w:asciiTheme="majorHAnsi" w:hAnsiTheme="majorHAnsi"/>
          <w:b/>
          <w:color w:val="0000FF"/>
          <w:sz w:val="20"/>
          <w:szCs w:val="20"/>
          <w:u w:val="single"/>
        </w:rPr>
        <w:t>Site Induction Document</w:t>
      </w:r>
      <w:r>
        <w:rPr>
          <w:rFonts w:asciiTheme="majorHAnsi" w:hAnsiTheme="majorHAnsi"/>
          <w:sz w:val="20"/>
          <w:szCs w:val="20"/>
        </w:rPr>
        <w:t xml:space="preserve">. </w:t>
      </w:r>
    </w:p>
    <w:p w:rsidR="006D6C20" w:rsidRDefault="006D6C20" w:rsidP="006D6C20">
      <w:pPr>
        <w:jc w:val="both"/>
        <w:rPr>
          <w:rFonts w:asciiTheme="majorHAnsi" w:hAnsiTheme="majorHAnsi"/>
          <w:sz w:val="20"/>
          <w:szCs w:val="20"/>
        </w:rPr>
      </w:pPr>
    </w:p>
    <w:p w:rsidR="006D6C20" w:rsidRPr="00EE5D98" w:rsidRDefault="006D6C20" w:rsidP="006D6C20">
      <w:pPr>
        <w:jc w:val="both"/>
        <w:rPr>
          <w:rFonts w:asciiTheme="majorHAnsi" w:hAnsiTheme="majorHAnsi"/>
          <w:sz w:val="20"/>
          <w:szCs w:val="20"/>
        </w:rPr>
      </w:pPr>
    </w:p>
    <w:p w:rsidR="006D6C20" w:rsidRPr="00C62DE5" w:rsidRDefault="006D6C20" w:rsidP="006D6C20">
      <w:pPr>
        <w:jc w:val="both"/>
        <w:rPr>
          <w:rFonts w:asciiTheme="majorHAnsi" w:hAnsiTheme="majorHAnsi"/>
          <w:b/>
          <w:szCs w:val="20"/>
        </w:rPr>
      </w:pPr>
      <w:r w:rsidRPr="00C62DE5">
        <w:rPr>
          <w:rFonts w:asciiTheme="majorHAnsi" w:hAnsiTheme="majorHAnsi"/>
          <w:b/>
          <w:szCs w:val="20"/>
        </w:rPr>
        <w:t>Implementation of your own CDM area on site</w:t>
      </w:r>
    </w:p>
    <w:p w:rsidR="006D6C20" w:rsidRDefault="006D6C20" w:rsidP="006D6C20">
      <w:pPr>
        <w:jc w:val="both"/>
        <w:rPr>
          <w:rFonts w:asciiTheme="majorHAnsi" w:hAnsiTheme="majorHAnsi"/>
          <w:sz w:val="20"/>
          <w:szCs w:val="20"/>
        </w:rPr>
      </w:pPr>
      <w:r>
        <w:rPr>
          <w:rFonts w:asciiTheme="majorHAnsi" w:hAnsiTheme="majorHAnsi"/>
          <w:sz w:val="20"/>
          <w:szCs w:val="20"/>
        </w:rPr>
        <w:t xml:space="preserve">As explained in both Appendix 9 &amp; 10 (dependent on whether you are an Exhibitor of Contractor), you will be advised that Space Only stands will in effect be their own mini-CDM Site within the overall show CDM Site. As such, you will be expected to manage, monitor and control access onto your stand. </w:t>
      </w:r>
    </w:p>
    <w:p w:rsidR="006D6C20" w:rsidRDefault="006D6C20" w:rsidP="006D6C20">
      <w:pPr>
        <w:jc w:val="both"/>
        <w:rPr>
          <w:rFonts w:asciiTheme="majorHAnsi" w:hAnsiTheme="majorHAnsi"/>
          <w:sz w:val="20"/>
          <w:szCs w:val="20"/>
        </w:rPr>
      </w:pPr>
    </w:p>
    <w:p w:rsidR="006D6C20" w:rsidRPr="00C401DF" w:rsidRDefault="006D6C20" w:rsidP="006D6C20">
      <w:pPr>
        <w:jc w:val="both"/>
        <w:rPr>
          <w:rFonts w:asciiTheme="majorHAnsi" w:hAnsiTheme="majorHAnsi"/>
          <w:sz w:val="20"/>
          <w:szCs w:val="20"/>
        </w:rPr>
      </w:pPr>
    </w:p>
    <w:p w:rsidR="006D6C20" w:rsidRPr="00C62DE5" w:rsidRDefault="006D6C20" w:rsidP="006D6C20">
      <w:pPr>
        <w:jc w:val="both"/>
        <w:rPr>
          <w:rFonts w:asciiTheme="majorHAnsi" w:hAnsiTheme="majorHAnsi"/>
          <w:b/>
          <w:szCs w:val="20"/>
        </w:rPr>
      </w:pPr>
      <w:r w:rsidRPr="00C62DE5">
        <w:rPr>
          <w:rFonts w:asciiTheme="majorHAnsi" w:hAnsiTheme="majorHAnsi"/>
          <w:b/>
          <w:szCs w:val="20"/>
        </w:rPr>
        <w:t>Monitoring on site by Orgs</w:t>
      </w:r>
    </w:p>
    <w:p w:rsidR="006D6C20" w:rsidRDefault="006D6C20" w:rsidP="006D6C20">
      <w:pPr>
        <w:jc w:val="both"/>
        <w:rPr>
          <w:rFonts w:asciiTheme="majorHAnsi" w:hAnsiTheme="majorHAnsi"/>
          <w:sz w:val="20"/>
          <w:szCs w:val="20"/>
        </w:rPr>
      </w:pPr>
      <w:r>
        <w:rPr>
          <w:rFonts w:asciiTheme="majorHAnsi" w:hAnsiTheme="majorHAnsi"/>
          <w:sz w:val="20"/>
          <w:szCs w:val="20"/>
        </w:rPr>
        <w:t>The Organisers have appointed H&amp;S Floor Managers, whose responsibility it will be to ensure best practice and the Site Rules are being followed. Should they encounter anyone not following the Site Rules, they will begin a three-step disciplinary process. This will be as follows:</w:t>
      </w:r>
    </w:p>
    <w:p w:rsidR="006D6C20" w:rsidRDefault="006D6C20" w:rsidP="006D6C20">
      <w:pPr>
        <w:jc w:val="both"/>
        <w:rPr>
          <w:rFonts w:asciiTheme="majorHAnsi" w:hAnsiTheme="majorHAnsi"/>
          <w:sz w:val="20"/>
          <w:szCs w:val="20"/>
        </w:rPr>
      </w:pPr>
    </w:p>
    <w:p w:rsidR="006D6C20" w:rsidRPr="00C401DF" w:rsidRDefault="006D6C20" w:rsidP="006D6C20">
      <w:pPr>
        <w:pStyle w:val="ListParagraph"/>
        <w:numPr>
          <w:ilvl w:val="0"/>
          <w:numId w:val="1"/>
        </w:numPr>
        <w:jc w:val="both"/>
        <w:rPr>
          <w:rFonts w:asciiTheme="majorHAnsi" w:hAnsiTheme="majorHAnsi"/>
          <w:sz w:val="20"/>
          <w:szCs w:val="20"/>
        </w:rPr>
      </w:pPr>
      <w:r w:rsidRPr="00C401DF">
        <w:rPr>
          <w:rFonts w:asciiTheme="majorHAnsi" w:hAnsiTheme="majorHAnsi"/>
          <w:sz w:val="20"/>
          <w:szCs w:val="20"/>
        </w:rPr>
        <w:t xml:space="preserve">When non-compliance is noted for the first time, the name of the company / stand / individual will be taken note and they will be advised of the issue around their non-compliance.  They will be warned of further action. </w:t>
      </w:r>
    </w:p>
    <w:p w:rsidR="006D6C20" w:rsidRPr="00C401DF" w:rsidRDefault="006D6C20" w:rsidP="006D6C20">
      <w:pPr>
        <w:pStyle w:val="ListParagraph"/>
        <w:numPr>
          <w:ilvl w:val="0"/>
          <w:numId w:val="1"/>
        </w:numPr>
        <w:jc w:val="both"/>
        <w:rPr>
          <w:rFonts w:asciiTheme="majorHAnsi" w:hAnsiTheme="majorHAnsi"/>
          <w:sz w:val="20"/>
          <w:szCs w:val="20"/>
        </w:rPr>
      </w:pPr>
      <w:r w:rsidRPr="00C401DF">
        <w:rPr>
          <w:rFonts w:asciiTheme="majorHAnsi" w:hAnsiTheme="majorHAnsi"/>
          <w:sz w:val="20"/>
          <w:szCs w:val="20"/>
        </w:rPr>
        <w:t>Should the same individual be found to be non-compliant for a second time, their Site Manager will be informed and they will be required to undertake the Site Induction again (either from their Site Manager or at the Site Office).  They will be advised that this is their final warning and a second note added against them.</w:t>
      </w:r>
    </w:p>
    <w:p w:rsidR="006D6C20" w:rsidRPr="00C401DF" w:rsidRDefault="006D6C20" w:rsidP="006D6C20">
      <w:pPr>
        <w:pStyle w:val="ListParagraph"/>
        <w:numPr>
          <w:ilvl w:val="0"/>
          <w:numId w:val="1"/>
        </w:numPr>
        <w:jc w:val="both"/>
        <w:rPr>
          <w:rFonts w:asciiTheme="majorHAnsi" w:hAnsiTheme="majorHAnsi"/>
          <w:sz w:val="20"/>
          <w:szCs w:val="20"/>
        </w:rPr>
      </w:pPr>
      <w:r w:rsidRPr="00C401DF">
        <w:rPr>
          <w:rFonts w:asciiTheme="majorHAnsi" w:hAnsiTheme="majorHAnsi"/>
          <w:sz w:val="20"/>
          <w:szCs w:val="20"/>
        </w:rPr>
        <w:t xml:space="preserve">If the individual is found to be in non-compliance for a third time, their Site Manager will be informed, their wristband removed and they will be asked to leave the CDM site. A third note will be written against them and a letter / email of non-compliance to be sent to their company. </w:t>
      </w:r>
    </w:p>
    <w:p w:rsidR="006D6C20" w:rsidRDefault="006D6C20" w:rsidP="006D6C20">
      <w:pPr>
        <w:jc w:val="both"/>
        <w:rPr>
          <w:rFonts w:asciiTheme="majorHAnsi" w:hAnsiTheme="majorHAnsi"/>
          <w:b/>
          <w:sz w:val="20"/>
          <w:szCs w:val="20"/>
        </w:rPr>
      </w:pPr>
    </w:p>
    <w:p w:rsidR="006D6C20" w:rsidRDefault="006D6C20" w:rsidP="006D6C20">
      <w:pPr>
        <w:jc w:val="both"/>
        <w:rPr>
          <w:rFonts w:asciiTheme="majorHAnsi" w:hAnsiTheme="majorHAnsi"/>
          <w:b/>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b/>
                <w:sz w:val="28"/>
                <w:szCs w:val="28"/>
              </w:rPr>
            </w:pPr>
            <w:r w:rsidRPr="0042520E">
              <w:rPr>
                <w:rFonts w:asciiTheme="majorHAnsi" w:hAnsiTheme="majorHAnsi"/>
                <w:b/>
                <w:sz w:val="28"/>
                <w:szCs w:val="28"/>
              </w:rPr>
              <w:t>How will breakdown be managed?</w:t>
            </w:r>
            <w:r>
              <w:rPr>
                <w:rFonts w:asciiTheme="majorHAnsi" w:hAnsiTheme="majorHAnsi"/>
                <w:b/>
                <w:sz w:val="28"/>
                <w:szCs w:val="28"/>
              </w:rPr>
              <w:t xml:space="preserve"> </w:t>
            </w:r>
          </w:p>
        </w:tc>
      </w:tr>
    </w:tbl>
    <w:p w:rsidR="006D6C20" w:rsidRDefault="006D6C20" w:rsidP="006D6C20">
      <w:pPr>
        <w:jc w:val="both"/>
        <w:rPr>
          <w:rFonts w:asciiTheme="majorHAnsi" w:hAnsiTheme="majorHAnsi"/>
          <w:b/>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Due to the introduction of CDM, breakdown will have to be more tightly controlled. Full details of the breakdown process will be included in the Breakdown Sheet supplied to your stand on site, however a brief overview is as follows:</w:t>
      </w: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r>
        <w:rPr>
          <w:rFonts w:asciiTheme="majorHAnsi" w:hAnsiTheme="majorHAnsi"/>
          <w:sz w:val="20"/>
          <w:szCs w:val="20"/>
        </w:rPr>
        <w:t xml:space="preserve">Breakdown will be broken down into 3 periods on a Traffic Light System; Green, Amber &amp; Red. </w:t>
      </w:r>
    </w:p>
    <w:p w:rsidR="006D6C20" w:rsidRDefault="006D6C20" w:rsidP="006D6C20">
      <w:pPr>
        <w:jc w:val="both"/>
        <w:rPr>
          <w:rFonts w:asciiTheme="majorHAnsi" w:hAnsiTheme="majorHAnsi"/>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694"/>
        <w:gridCol w:w="5528"/>
        <w:gridCol w:w="1842"/>
      </w:tblGrid>
      <w:tr w:rsidR="006D6C20" w:rsidTr="00F16E3C">
        <w:trPr>
          <w:trHeight w:val="399"/>
        </w:trPr>
        <w:tc>
          <w:tcPr>
            <w:tcW w:w="2694" w:type="dxa"/>
          </w:tcPr>
          <w:p w:rsidR="006D6C20" w:rsidRDefault="006D6C20" w:rsidP="00F16E3C">
            <w:pPr>
              <w:rPr>
                <w:rFonts w:asciiTheme="majorHAnsi" w:hAnsiTheme="majorHAnsi"/>
                <w:color w:val="404040" w:themeColor="text1" w:themeTint="BF"/>
              </w:rPr>
            </w:pPr>
          </w:p>
        </w:tc>
        <w:tc>
          <w:tcPr>
            <w:tcW w:w="5528" w:type="dxa"/>
          </w:tcPr>
          <w:p w:rsidR="006D6C20" w:rsidRPr="006D2EF0" w:rsidRDefault="006D6C20" w:rsidP="00F16E3C">
            <w:pPr>
              <w:jc w:val="center"/>
              <w:rPr>
                <w:rFonts w:asciiTheme="majorHAnsi" w:hAnsiTheme="majorHAnsi"/>
                <w:b/>
                <w:color w:val="404040" w:themeColor="text1" w:themeTint="BF"/>
                <w:sz w:val="20"/>
                <w:u w:val="single"/>
              </w:rPr>
            </w:pPr>
            <w:r w:rsidRPr="006D2EF0">
              <w:rPr>
                <w:rFonts w:asciiTheme="majorHAnsi" w:hAnsiTheme="majorHAnsi"/>
                <w:b/>
                <w:color w:val="404040" w:themeColor="text1" w:themeTint="BF"/>
                <w:sz w:val="20"/>
                <w:u w:val="single"/>
              </w:rPr>
              <w:t>PERIOD &amp; ACTIVITY</w:t>
            </w:r>
          </w:p>
        </w:tc>
        <w:tc>
          <w:tcPr>
            <w:tcW w:w="1842" w:type="dxa"/>
          </w:tcPr>
          <w:p w:rsidR="006D6C20" w:rsidRPr="006D2EF0" w:rsidRDefault="006D6C20" w:rsidP="00F16E3C">
            <w:pPr>
              <w:jc w:val="center"/>
              <w:rPr>
                <w:rFonts w:asciiTheme="majorHAnsi" w:hAnsiTheme="majorHAnsi"/>
                <w:b/>
                <w:color w:val="404040" w:themeColor="text1" w:themeTint="BF"/>
                <w:sz w:val="20"/>
                <w:u w:val="single"/>
              </w:rPr>
            </w:pPr>
            <w:r w:rsidRPr="006D2EF0">
              <w:rPr>
                <w:rFonts w:asciiTheme="majorHAnsi" w:hAnsiTheme="majorHAnsi"/>
                <w:b/>
                <w:color w:val="404040" w:themeColor="text1" w:themeTint="BF"/>
                <w:sz w:val="20"/>
                <w:u w:val="single"/>
              </w:rPr>
              <w:t>PROPOSED TIMINGS</w:t>
            </w:r>
          </w:p>
        </w:tc>
      </w:tr>
      <w:tr w:rsidR="006D6C20" w:rsidTr="00F16E3C">
        <w:tc>
          <w:tcPr>
            <w:tcW w:w="2694" w:type="dxa"/>
            <w:vMerge w:val="restart"/>
            <w:vAlign w:val="center"/>
          </w:tcPr>
          <w:p w:rsidR="006D6C20" w:rsidRDefault="0004138B" w:rsidP="00F16E3C">
            <w:pPr>
              <w:ind w:right="743"/>
              <w:rPr>
                <w:rFonts w:asciiTheme="majorHAnsi" w:hAnsiTheme="majorHAnsi"/>
                <w:b/>
                <w:color w:val="404040" w:themeColor="text1" w:themeTint="BF"/>
              </w:rPr>
            </w:pPr>
            <w:r>
              <w:rPr>
                <w:rFonts w:asciiTheme="majorHAnsi" w:hAnsiTheme="majorHAnsi"/>
                <w:b/>
                <w:noProof/>
                <w:color w:val="404040" w:themeColor="text1" w:themeTint="BF"/>
                <w:lang w:eastAsia="en-GB"/>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92075</wp:posOffset>
                      </wp:positionV>
                      <wp:extent cx="114300" cy="800100"/>
                      <wp:effectExtent l="13335" t="9525" r="1524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12700">
                                <a:solidFill>
                                  <a:schemeClr val="tx1">
                                    <a:lumMod val="65000"/>
                                    <a:lumOff val="3500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F9C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7pt;margin-top:7.25pt;width:9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" strokecolor="#5a5a5a [2109]" strokeweight="1pt">
                      <v:shadow opacity="22938f" offset="0"/>
                      <v:textbox inset=",7.2pt,,7.2pt"/>
                    </v:shape>
                  </w:pict>
                </mc:Fallback>
              </mc:AlternateContent>
            </w:r>
          </w:p>
          <w:p w:rsidR="006D6C20" w:rsidRDefault="006D6C20" w:rsidP="00F16E3C">
            <w:pPr>
              <w:ind w:right="743"/>
              <w:rPr>
                <w:rFonts w:asciiTheme="majorHAnsi" w:hAnsiTheme="majorHAnsi"/>
                <w:b/>
                <w:color w:val="404040" w:themeColor="text1" w:themeTint="BF"/>
              </w:rPr>
            </w:pPr>
          </w:p>
          <w:p w:rsidR="006D6C20" w:rsidRPr="00564EEA" w:rsidRDefault="006D6C20" w:rsidP="00F16E3C">
            <w:pPr>
              <w:ind w:right="743"/>
              <w:rPr>
                <w:rFonts w:asciiTheme="majorHAnsi" w:hAnsiTheme="majorHAnsi"/>
                <w:b/>
                <w:color w:val="404040" w:themeColor="text1" w:themeTint="BF"/>
              </w:rPr>
            </w:pPr>
            <w:r>
              <w:rPr>
                <w:rFonts w:asciiTheme="majorHAnsi" w:hAnsiTheme="majorHAnsi"/>
                <w:b/>
                <w:color w:val="404040" w:themeColor="text1" w:themeTint="BF"/>
              </w:rPr>
              <w:t>Breakdown not started</w:t>
            </w:r>
          </w:p>
        </w:tc>
        <w:tc>
          <w:tcPr>
            <w:tcW w:w="5528" w:type="dxa"/>
            <w:shd w:val="clear" w:color="auto" w:fill="E0E0E0"/>
            <w:vAlign w:val="center"/>
          </w:tcPr>
          <w:p w:rsidR="006D6C20" w:rsidRPr="00101884" w:rsidRDefault="006D6C20" w:rsidP="00F16E3C">
            <w:pPr>
              <w:rPr>
                <w:rFonts w:asciiTheme="majorHAnsi" w:hAnsiTheme="majorHAnsi"/>
                <w:b/>
                <w:color w:val="404040" w:themeColor="text1" w:themeTint="BF"/>
              </w:rPr>
            </w:pPr>
            <w:r>
              <w:rPr>
                <w:rFonts w:asciiTheme="majorHAnsi" w:hAnsiTheme="majorHAnsi"/>
                <w:b/>
                <w:color w:val="404040" w:themeColor="text1" w:themeTint="BF"/>
              </w:rPr>
              <w:t>SHOW CLOSE &amp; PRE-BREAKDOWN</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p>
        </w:tc>
      </w:tr>
      <w:tr w:rsidR="006D6C20" w:rsidTr="00F16E3C">
        <w:trPr>
          <w:trHeight w:val="1288"/>
        </w:trPr>
        <w:tc>
          <w:tcPr>
            <w:tcW w:w="2694" w:type="dxa"/>
            <w:vMerge/>
          </w:tcPr>
          <w:p w:rsidR="006D6C20" w:rsidRDefault="006D6C20" w:rsidP="00F16E3C">
            <w:pPr>
              <w:ind w:right="318"/>
              <w:jc w:val="both"/>
              <w:rPr>
                <w:rFonts w:asciiTheme="majorHAnsi" w:hAnsiTheme="majorHAnsi"/>
                <w:color w:val="404040" w:themeColor="text1" w:themeTint="BF"/>
              </w:rPr>
            </w:pPr>
          </w:p>
        </w:tc>
        <w:tc>
          <w:tcPr>
            <w:tcW w:w="5528" w:type="dxa"/>
            <w:vAlign w:val="center"/>
          </w:tcPr>
          <w:p w:rsidR="006D6C20" w:rsidRDefault="006D6C20" w:rsidP="006D6C20">
            <w:pPr>
              <w:pStyle w:val="ListParagraph"/>
              <w:numPr>
                <w:ilvl w:val="0"/>
                <w:numId w:val="3"/>
              </w:numPr>
              <w:ind w:left="459"/>
              <w:rPr>
                <w:rFonts w:asciiTheme="majorHAnsi" w:hAnsiTheme="majorHAnsi"/>
                <w:color w:val="404040" w:themeColor="text1" w:themeTint="BF"/>
                <w:sz w:val="18"/>
              </w:rPr>
            </w:pPr>
            <w:r>
              <w:rPr>
                <w:rFonts w:asciiTheme="majorHAnsi" w:hAnsiTheme="majorHAnsi"/>
                <w:color w:val="404040" w:themeColor="text1" w:themeTint="BF"/>
                <w:sz w:val="18"/>
              </w:rPr>
              <w:t>Visitors to be vacated from the hall</w:t>
            </w:r>
          </w:p>
          <w:p w:rsidR="006D6C20" w:rsidRDefault="006D6C20" w:rsidP="006D6C20">
            <w:pPr>
              <w:pStyle w:val="ListParagraph"/>
              <w:numPr>
                <w:ilvl w:val="0"/>
                <w:numId w:val="3"/>
              </w:numPr>
              <w:ind w:left="459"/>
              <w:rPr>
                <w:rFonts w:asciiTheme="majorHAnsi" w:hAnsiTheme="majorHAnsi"/>
                <w:color w:val="404040" w:themeColor="text1" w:themeTint="BF"/>
                <w:sz w:val="18"/>
              </w:rPr>
            </w:pPr>
            <w:r>
              <w:rPr>
                <w:rFonts w:asciiTheme="majorHAnsi" w:hAnsiTheme="majorHAnsi"/>
                <w:color w:val="404040" w:themeColor="text1" w:themeTint="BF"/>
                <w:sz w:val="18"/>
              </w:rPr>
              <w:t>Exhibitors can start packing away SMALLER items such as paperwork, marketing literature and securing IT equipment</w:t>
            </w:r>
          </w:p>
          <w:p w:rsidR="006D6C20" w:rsidRPr="00650556" w:rsidRDefault="006D6C20" w:rsidP="006D6C20">
            <w:pPr>
              <w:pStyle w:val="ListParagraph"/>
              <w:numPr>
                <w:ilvl w:val="0"/>
                <w:numId w:val="3"/>
              </w:numPr>
              <w:ind w:left="459"/>
              <w:rPr>
                <w:rFonts w:asciiTheme="majorHAnsi" w:hAnsiTheme="majorHAnsi"/>
                <w:b/>
                <w:color w:val="404040" w:themeColor="text1" w:themeTint="BF"/>
                <w:sz w:val="18"/>
              </w:rPr>
            </w:pPr>
            <w:r w:rsidRPr="00650556">
              <w:rPr>
                <w:rFonts w:asciiTheme="majorHAnsi" w:hAnsiTheme="majorHAnsi"/>
                <w:b/>
                <w:color w:val="404040" w:themeColor="text1" w:themeTint="BF"/>
                <w:sz w:val="18"/>
              </w:rPr>
              <w:t>NO CONTRACTORS ARE ALLOWED IN THE HALL DURING THIS TIME</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r>
              <w:rPr>
                <w:rFonts w:asciiTheme="majorHAnsi" w:hAnsiTheme="majorHAnsi"/>
                <w:color w:val="404040" w:themeColor="text1" w:themeTint="BF"/>
                <w:sz w:val="16"/>
              </w:rPr>
              <w:t>Show Close for 10-15 minutes. This may be longer if it is a public show</w:t>
            </w:r>
          </w:p>
        </w:tc>
      </w:tr>
      <w:tr w:rsidR="006D6C20" w:rsidTr="00F16E3C">
        <w:tc>
          <w:tcPr>
            <w:tcW w:w="2694" w:type="dxa"/>
            <w:vMerge w:val="restart"/>
            <w:vAlign w:val="center"/>
          </w:tcPr>
          <w:p w:rsidR="006D6C20" w:rsidRDefault="0004138B" w:rsidP="00F16E3C">
            <w:pPr>
              <w:ind w:right="743"/>
              <w:rPr>
                <w:rFonts w:asciiTheme="majorHAnsi" w:hAnsiTheme="majorHAnsi"/>
                <w:b/>
                <w:color w:val="404040" w:themeColor="text1" w:themeTint="BF"/>
              </w:rPr>
            </w:pPr>
            <w:r>
              <w:rPr>
                <w:rFonts w:asciiTheme="majorHAnsi" w:hAnsiTheme="majorHAnsi"/>
                <w:b/>
                <w:noProof/>
                <w:color w:val="404040" w:themeColor="text1" w:themeTint="BF"/>
                <w:lang w:eastAsia="en-GB"/>
              </w:rPr>
              <mc:AlternateContent>
                <mc:Choice Requires="wps">
                  <w:drawing>
                    <wp:anchor distT="0" distB="0" distL="114300" distR="114300" simplePos="0" relativeHeight="251661312" behindDoc="0" locked="0" layoutInCell="1" allowOverlap="1">
                      <wp:simplePos x="0" y="0"/>
                      <wp:positionH relativeFrom="column">
                        <wp:posOffset>1480820</wp:posOffset>
                      </wp:positionH>
                      <wp:positionV relativeFrom="paragraph">
                        <wp:posOffset>132080</wp:posOffset>
                      </wp:positionV>
                      <wp:extent cx="114300" cy="800100"/>
                      <wp:effectExtent l="8255" t="9525" r="1079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12700">
                                <a:solidFill>
                                  <a:schemeClr val="tx1">
                                    <a:lumMod val="65000"/>
                                    <a:lumOff val="3500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FA01" id="AutoShape 3" o:spid="_x0000_s1026" type="#_x0000_t87" style="position:absolute;margin-left:116.6pt;margin-top:10.4pt;width: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" strokecolor="#5a5a5a [2109]" strokeweight="1pt">
                      <v:shadow opacity="22938f" offset="0"/>
                      <v:textbox inset=",7.2pt,,7.2pt"/>
                    </v:shape>
                  </w:pict>
                </mc:Fallback>
              </mc:AlternateContent>
            </w:r>
          </w:p>
          <w:p w:rsidR="006D6C20" w:rsidRPr="00564EEA" w:rsidRDefault="006D6C20" w:rsidP="00F16E3C">
            <w:pPr>
              <w:ind w:right="743"/>
              <w:rPr>
                <w:rFonts w:asciiTheme="majorHAnsi" w:hAnsiTheme="majorHAnsi"/>
                <w:b/>
                <w:color w:val="404040" w:themeColor="text1" w:themeTint="BF"/>
              </w:rPr>
            </w:pPr>
            <w:r>
              <w:rPr>
                <w:rFonts w:asciiTheme="majorHAnsi" w:hAnsiTheme="majorHAnsi"/>
                <w:b/>
                <w:color w:val="404040" w:themeColor="text1" w:themeTint="BF"/>
              </w:rPr>
              <w:lastRenderedPageBreak/>
              <w:t xml:space="preserve">Breakdown to start – CDM </w:t>
            </w:r>
            <w:r>
              <w:rPr>
                <w:rFonts w:asciiTheme="majorHAnsi" w:hAnsiTheme="majorHAnsi"/>
                <w:b/>
                <w:color w:val="404040" w:themeColor="text1" w:themeTint="BF"/>
                <w:u w:val="single"/>
              </w:rPr>
              <w:t>NOT</w:t>
            </w:r>
            <w:r>
              <w:rPr>
                <w:rFonts w:asciiTheme="majorHAnsi" w:hAnsiTheme="majorHAnsi"/>
                <w:b/>
                <w:color w:val="404040" w:themeColor="text1" w:themeTint="BF"/>
              </w:rPr>
              <w:t xml:space="preserve"> in operation</w:t>
            </w:r>
          </w:p>
        </w:tc>
        <w:tc>
          <w:tcPr>
            <w:tcW w:w="5528" w:type="dxa"/>
            <w:shd w:val="clear" w:color="auto" w:fill="B0D300"/>
            <w:vAlign w:val="center"/>
          </w:tcPr>
          <w:p w:rsidR="006D6C20" w:rsidRPr="00FA16B9" w:rsidRDefault="006D6C20" w:rsidP="00F16E3C">
            <w:pPr>
              <w:rPr>
                <w:rFonts w:asciiTheme="majorHAnsi" w:hAnsiTheme="majorHAnsi"/>
                <w:b/>
                <w:color w:val="FFFFFF" w:themeColor="background1"/>
              </w:rPr>
            </w:pPr>
            <w:r>
              <w:rPr>
                <w:rFonts w:asciiTheme="majorHAnsi" w:hAnsiTheme="majorHAnsi"/>
                <w:b/>
                <w:color w:val="FFFFFF" w:themeColor="background1"/>
              </w:rPr>
              <w:lastRenderedPageBreak/>
              <w:t>GREEN</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p>
        </w:tc>
      </w:tr>
      <w:tr w:rsidR="006D6C20" w:rsidTr="00F16E3C">
        <w:trPr>
          <w:trHeight w:val="1296"/>
        </w:trPr>
        <w:tc>
          <w:tcPr>
            <w:tcW w:w="2694" w:type="dxa"/>
            <w:vMerge/>
            <w:vAlign w:val="center"/>
          </w:tcPr>
          <w:p w:rsidR="006D6C20" w:rsidRPr="00564EEA" w:rsidRDefault="006D6C20" w:rsidP="00F16E3C">
            <w:pPr>
              <w:ind w:right="318"/>
              <w:jc w:val="both"/>
              <w:rPr>
                <w:rFonts w:asciiTheme="majorHAnsi" w:hAnsiTheme="majorHAnsi"/>
                <w:b/>
                <w:color w:val="404040" w:themeColor="text1" w:themeTint="BF"/>
              </w:rPr>
            </w:pPr>
          </w:p>
        </w:tc>
        <w:tc>
          <w:tcPr>
            <w:tcW w:w="5528" w:type="dxa"/>
            <w:vAlign w:val="center"/>
          </w:tcPr>
          <w:p w:rsidR="006D6C20" w:rsidRPr="00650556" w:rsidRDefault="006D6C20" w:rsidP="006D6C20">
            <w:pPr>
              <w:pStyle w:val="ListParagraph"/>
              <w:numPr>
                <w:ilvl w:val="0"/>
                <w:numId w:val="4"/>
              </w:numPr>
              <w:ind w:left="459"/>
              <w:rPr>
                <w:rFonts w:asciiTheme="majorHAnsi" w:hAnsiTheme="majorHAnsi"/>
                <w:b/>
                <w:color w:val="404040" w:themeColor="text1" w:themeTint="BF"/>
                <w:sz w:val="18"/>
              </w:rPr>
            </w:pPr>
            <w:r>
              <w:rPr>
                <w:rFonts w:asciiTheme="majorHAnsi" w:hAnsiTheme="majorHAnsi"/>
                <w:color w:val="404040" w:themeColor="text1" w:themeTint="BF"/>
                <w:sz w:val="18"/>
              </w:rPr>
              <w:t xml:space="preserve">Goods can start to be moved in and out of the hall by hand. </w:t>
            </w:r>
            <w:r w:rsidRPr="00650556">
              <w:rPr>
                <w:rFonts w:asciiTheme="majorHAnsi" w:hAnsiTheme="majorHAnsi"/>
                <w:b/>
                <w:color w:val="404040" w:themeColor="text1" w:themeTint="BF"/>
                <w:sz w:val="18"/>
              </w:rPr>
              <w:t>NO TROLLEYS ALLOWED.</w:t>
            </w:r>
          </w:p>
          <w:p w:rsidR="006D6C20" w:rsidRDefault="006D6C20" w:rsidP="006D6C20">
            <w:pPr>
              <w:pStyle w:val="ListParagraph"/>
              <w:numPr>
                <w:ilvl w:val="0"/>
                <w:numId w:val="4"/>
              </w:numPr>
              <w:ind w:left="459"/>
              <w:rPr>
                <w:rFonts w:asciiTheme="majorHAnsi" w:hAnsiTheme="majorHAnsi"/>
                <w:color w:val="404040" w:themeColor="text1" w:themeTint="BF"/>
                <w:sz w:val="18"/>
              </w:rPr>
            </w:pPr>
            <w:r>
              <w:rPr>
                <w:rFonts w:asciiTheme="majorHAnsi" w:hAnsiTheme="majorHAnsi"/>
                <w:color w:val="404040" w:themeColor="text1" w:themeTint="BF"/>
                <w:sz w:val="18"/>
              </w:rPr>
              <w:t>Gangway carpets to start being lifted.</w:t>
            </w:r>
          </w:p>
          <w:p w:rsidR="006D6C20" w:rsidRPr="00650556" w:rsidRDefault="006D6C20" w:rsidP="006D6C20">
            <w:pPr>
              <w:pStyle w:val="ListParagraph"/>
              <w:numPr>
                <w:ilvl w:val="0"/>
                <w:numId w:val="4"/>
              </w:numPr>
              <w:ind w:left="459"/>
              <w:rPr>
                <w:rFonts w:asciiTheme="majorHAnsi" w:hAnsiTheme="majorHAnsi"/>
                <w:color w:val="404040" w:themeColor="text1" w:themeTint="BF"/>
                <w:sz w:val="18"/>
              </w:rPr>
            </w:pPr>
            <w:r>
              <w:rPr>
                <w:rFonts w:asciiTheme="majorHAnsi" w:hAnsiTheme="majorHAnsi"/>
                <w:color w:val="404040" w:themeColor="text1" w:themeTint="BF"/>
                <w:sz w:val="18"/>
              </w:rPr>
              <w:t xml:space="preserve">Electricians to start work once electrics to the halls have been switched off – </w:t>
            </w:r>
            <w:r>
              <w:rPr>
                <w:rFonts w:asciiTheme="majorHAnsi" w:hAnsiTheme="majorHAnsi"/>
                <w:b/>
                <w:color w:val="404040" w:themeColor="text1" w:themeTint="BF"/>
                <w:sz w:val="18"/>
              </w:rPr>
              <w:t>NO STAND DISMANTLING TO BE STARTED</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r>
              <w:rPr>
                <w:rFonts w:asciiTheme="majorHAnsi" w:hAnsiTheme="majorHAnsi"/>
                <w:color w:val="404040" w:themeColor="text1" w:themeTint="BF"/>
                <w:sz w:val="16"/>
              </w:rPr>
              <w:t>15 minutes after show close for around 15 minutes</w:t>
            </w:r>
          </w:p>
        </w:tc>
      </w:tr>
      <w:tr w:rsidR="006D6C20" w:rsidTr="00F16E3C">
        <w:tc>
          <w:tcPr>
            <w:tcW w:w="2694" w:type="dxa"/>
            <w:vMerge w:val="restart"/>
            <w:vAlign w:val="center"/>
          </w:tcPr>
          <w:p w:rsidR="006D6C20" w:rsidRDefault="0004138B" w:rsidP="00F16E3C">
            <w:pPr>
              <w:tabs>
                <w:tab w:val="left" w:pos="1985"/>
              </w:tabs>
              <w:ind w:right="601"/>
              <w:rPr>
                <w:rFonts w:asciiTheme="majorHAnsi" w:hAnsiTheme="majorHAnsi"/>
                <w:b/>
                <w:color w:val="404040" w:themeColor="text1" w:themeTint="BF"/>
              </w:rPr>
            </w:pPr>
            <w:r>
              <w:rPr>
                <w:rFonts w:asciiTheme="majorHAnsi" w:hAnsiTheme="majorHAnsi"/>
                <w:b/>
                <w:noProof/>
                <w:color w:val="404040" w:themeColor="text1" w:themeTint="BF"/>
                <w:lang w:eastAsia="en-GB"/>
              </w:rPr>
              <mc:AlternateContent>
                <mc:Choice Requires="wps">
                  <w:drawing>
                    <wp:anchor distT="0" distB="0" distL="114300" distR="114300" simplePos="0" relativeHeight="251662336" behindDoc="0" locked="0" layoutInCell="1" allowOverlap="1">
                      <wp:simplePos x="0" y="0"/>
                      <wp:positionH relativeFrom="column">
                        <wp:posOffset>1475740</wp:posOffset>
                      </wp:positionH>
                      <wp:positionV relativeFrom="paragraph">
                        <wp:posOffset>53340</wp:posOffset>
                      </wp:positionV>
                      <wp:extent cx="113030" cy="1487805"/>
                      <wp:effectExtent l="12700" t="12700" r="762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487805"/>
                              </a:xfrm>
                              <a:prstGeom prst="leftBrace">
                                <a:avLst>
                                  <a:gd name="adj1" fmla="val 109691"/>
                                  <a:gd name="adj2" fmla="val 50000"/>
                                </a:avLst>
                              </a:prstGeom>
                              <a:noFill/>
                              <a:ln w="12700">
                                <a:solidFill>
                                  <a:schemeClr val="tx1">
                                    <a:lumMod val="65000"/>
                                    <a:lumOff val="3500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AC3E8" id="AutoShape 4" o:spid="_x0000_s1026" type="#_x0000_t87" style="position:absolute;margin-left:116.2pt;margin-top:4.2pt;width:8.9pt;height:1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" strokecolor="#5a5a5a [2109]" strokeweight="1pt">
                      <v:shadow opacity="22938f" offset="0"/>
                      <v:textbox inset=",7.2pt,,7.2pt"/>
                    </v:shape>
                  </w:pict>
                </mc:Fallback>
              </mc:AlternateContent>
            </w:r>
          </w:p>
          <w:p w:rsidR="006D6C20" w:rsidRDefault="006D6C20" w:rsidP="00F16E3C">
            <w:pPr>
              <w:tabs>
                <w:tab w:val="left" w:pos="1985"/>
              </w:tabs>
              <w:ind w:right="601"/>
              <w:rPr>
                <w:rFonts w:asciiTheme="majorHAnsi" w:hAnsiTheme="majorHAnsi"/>
                <w:b/>
                <w:color w:val="404040" w:themeColor="text1" w:themeTint="BF"/>
              </w:rPr>
            </w:pPr>
          </w:p>
          <w:p w:rsidR="006D6C20" w:rsidRDefault="006D6C20" w:rsidP="00F16E3C">
            <w:pPr>
              <w:tabs>
                <w:tab w:val="left" w:pos="1985"/>
              </w:tabs>
              <w:ind w:right="601"/>
              <w:rPr>
                <w:rFonts w:asciiTheme="majorHAnsi" w:hAnsiTheme="majorHAnsi"/>
                <w:b/>
                <w:color w:val="404040" w:themeColor="text1" w:themeTint="BF"/>
              </w:rPr>
            </w:pPr>
          </w:p>
          <w:p w:rsidR="006D6C20" w:rsidRPr="00564EEA" w:rsidRDefault="006D6C20" w:rsidP="00F16E3C">
            <w:pPr>
              <w:tabs>
                <w:tab w:val="left" w:pos="1985"/>
              </w:tabs>
              <w:ind w:right="601"/>
              <w:rPr>
                <w:rFonts w:asciiTheme="majorHAnsi" w:hAnsiTheme="majorHAnsi"/>
                <w:b/>
                <w:color w:val="404040" w:themeColor="text1" w:themeTint="BF"/>
              </w:rPr>
            </w:pPr>
            <w:r>
              <w:rPr>
                <w:rFonts w:asciiTheme="majorHAnsi" w:hAnsiTheme="majorHAnsi"/>
                <w:b/>
                <w:color w:val="404040" w:themeColor="text1" w:themeTint="BF"/>
              </w:rPr>
              <w:t>Breakdown to continue – CDM in operation</w:t>
            </w:r>
          </w:p>
        </w:tc>
        <w:tc>
          <w:tcPr>
            <w:tcW w:w="5528" w:type="dxa"/>
            <w:shd w:val="clear" w:color="auto" w:fill="FFCC00"/>
            <w:vAlign w:val="center"/>
          </w:tcPr>
          <w:p w:rsidR="006D6C20" w:rsidRPr="00650556" w:rsidRDefault="006D6C20" w:rsidP="00F16E3C">
            <w:pPr>
              <w:rPr>
                <w:rFonts w:asciiTheme="majorHAnsi" w:hAnsiTheme="majorHAnsi"/>
                <w:b/>
                <w:color w:val="404040" w:themeColor="text1" w:themeTint="BF"/>
              </w:rPr>
            </w:pPr>
            <w:r>
              <w:rPr>
                <w:rFonts w:asciiTheme="majorHAnsi" w:hAnsiTheme="majorHAnsi"/>
                <w:b/>
                <w:color w:val="404040" w:themeColor="text1" w:themeTint="BF"/>
              </w:rPr>
              <w:t>AMBER</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p>
        </w:tc>
      </w:tr>
      <w:tr w:rsidR="006D6C20" w:rsidTr="00F16E3C">
        <w:trPr>
          <w:trHeight w:val="1254"/>
        </w:trPr>
        <w:tc>
          <w:tcPr>
            <w:tcW w:w="2694" w:type="dxa"/>
            <w:vMerge/>
          </w:tcPr>
          <w:p w:rsidR="006D6C20" w:rsidRDefault="006D6C20" w:rsidP="00F16E3C">
            <w:pPr>
              <w:rPr>
                <w:rFonts w:asciiTheme="majorHAnsi" w:hAnsiTheme="majorHAnsi"/>
                <w:color w:val="404040" w:themeColor="text1" w:themeTint="BF"/>
              </w:rPr>
            </w:pPr>
          </w:p>
        </w:tc>
        <w:tc>
          <w:tcPr>
            <w:tcW w:w="5528" w:type="dxa"/>
            <w:vAlign w:val="center"/>
          </w:tcPr>
          <w:p w:rsidR="006D6C20"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Trolley access allowed into the hall</w:t>
            </w:r>
          </w:p>
          <w:p w:rsidR="006D6C20"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Dismantling of shell stands to begin where possible on empty blocks and removal of baffle walling</w:t>
            </w:r>
          </w:p>
          <w:p w:rsidR="006D6C20"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Furniture collection to begin</w:t>
            </w:r>
          </w:p>
          <w:p w:rsidR="006D6C20" w:rsidRPr="00650556"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Vehicle access into designated void areas</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r>
              <w:rPr>
                <w:rFonts w:asciiTheme="majorHAnsi" w:hAnsiTheme="majorHAnsi"/>
                <w:color w:val="404040" w:themeColor="text1" w:themeTint="BF"/>
                <w:sz w:val="16"/>
              </w:rPr>
              <w:t>Approximately 30 minutes after show close for around 45 minutes</w:t>
            </w:r>
          </w:p>
        </w:tc>
      </w:tr>
      <w:tr w:rsidR="006D6C20" w:rsidTr="00F16E3C">
        <w:tc>
          <w:tcPr>
            <w:tcW w:w="2694" w:type="dxa"/>
            <w:vMerge/>
          </w:tcPr>
          <w:p w:rsidR="006D6C20" w:rsidRDefault="006D6C20" w:rsidP="00F16E3C">
            <w:pPr>
              <w:rPr>
                <w:rFonts w:asciiTheme="majorHAnsi" w:hAnsiTheme="majorHAnsi"/>
                <w:color w:val="404040" w:themeColor="text1" w:themeTint="BF"/>
              </w:rPr>
            </w:pPr>
          </w:p>
        </w:tc>
        <w:tc>
          <w:tcPr>
            <w:tcW w:w="5528" w:type="dxa"/>
            <w:shd w:val="clear" w:color="auto" w:fill="FF0000"/>
            <w:vAlign w:val="center"/>
          </w:tcPr>
          <w:p w:rsidR="006D6C20" w:rsidRPr="00650556" w:rsidRDefault="006D6C20" w:rsidP="00F16E3C">
            <w:pPr>
              <w:rPr>
                <w:rFonts w:asciiTheme="majorHAnsi" w:hAnsiTheme="majorHAnsi"/>
                <w:b/>
                <w:color w:val="FFFFFF" w:themeColor="background1"/>
              </w:rPr>
            </w:pPr>
            <w:r>
              <w:rPr>
                <w:rFonts w:asciiTheme="majorHAnsi" w:hAnsiTheme="majorHAnsi"/>
                <w:b/>
                <w:color w:val="FFFFFF" w:themeColor="background1"/>
              </w:rPr>
              <w:t>RED</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p>
        </w:tc>
      </w:tr>
      <w:tr w:rsidR="006D6C20" w:rsidTr="00F16E3C">
        <w:trPr>
          <w:trHeight w:val="794"/>
        </w:trPr>
        <w:tc>
          <w:tcPr>
            <w:tcW w:w="2694" w:type="dxa"/>
            <w:vMerge/>
          </w:tcPr>
          <w:p w:rsidR="006D6C20" w:rsidRDefault="006D6C20" w:rsidP="00F16E3C">
            <w:pPr>
              <w:rPr>
                <w:rFonts w:asciiTheme="majorHAnsi" w:hAnsiTheme="majorHAnsi"/>
                <w:color w:val="404040" w:themeColor="text1" w:themeTint="BF"/>
              </w:rPr>
            </w:pPr>
          </w:p>
        </w:tc>
        <w:tc>
          <w:tcPr>
            <w:tcW w:w="5528" w:type="dxa"/>
            <w:vAlign w:val="center"/>
          </w:tcPr>
          <w:p w:rsidR="006D6C20" w:rsidRPr="00681E34"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Forklift movement now permitted</w:t>
            </w:r>
          </w:p>
          <w:p w:rsidR="006D6C20"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Empties to be distributed by lifting / storage contractor</w:t>
            </w:r>
          </w:p>
          <w:p w:rsidR="006D6C20" w:rsidRPr="00650556" w:rsidRDefault="006D6C20" w:rsidP="006D6C20">
            <w:pPr>
              <w:pStyle w:val="ListParagraph"/>
              <w:numPr>
                <w:ilvl w:val="0"/>
                <w:numId w:val="5"/>
              </w:numPr>
              <w:ind w:left="459"/>
              <w:rPr>
                <w:rFonts w:asciiTheme="majorHAnsi" w:hAnsiTheme="majorHAnsi"/>
                <w:color w:val="404040" w:themeColor="text1" w:themeTint="BF"/>
                <w:sz w:val="18"/>
              </w:rPr>
            </w:pPr>
            <w:r>
              <w:rPr>
                <w:rFonts w:asciiTheme="majorHAnsi" w:hAnsiTheme="majorHAnsi"/>
                <w:color w:val="404040" w:themeColor="text1" w:themeTint="BF"/>
                <w:sz w:val="18"/>
              </w:rPr>
              <w:t>Dismantling of space only stands to commence</w:t>
            </w:r>
          </w:p>
        </w:tc>
        <w:tc>
          <w:tcPr>
            <w:tcW w:w="1842" w:type="dxa"/>
            <w:vAlign w:val="center"/>
          </w:tcPr>
          <w:p w:rsidR="006D6C20" w:rsidRPr="00101884" w:rsidRDefault="006D6C20" w:rsidP="00F16E3C">
            <w:pPr>
              <w:jc w:val="center"/>
              <w:rPr>
                <w:rFonts w:asciiTheme="majorHAnsi" w:hAnsiTheme="majorHAnsi"/>
                <w:color w:val="404040" w:themeColor="text1" w:themeTint="BF"/>
                <w:sz w:val="16"/>
              </w:rPr>
            </w:pPr>
            <w:r>
              <w:rPr>
                <w:rFonts w:asciiTheme="majorHAnsi" w:hAnsiTheme="majorHAnsi"/>
                <w:color w:val="404040" w:themeColor="text1" w:themeTint="BF"/>
                <w:sz w:val="16"/>
              </w:rPr>
              <w:t>Approximately 1 ½ hrs after show close until halls shut for the day</w:t>
            </w:r>
          </w:p>
        </w:tc>
      </w:tr>
    </w:tbl>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p>
    <w:p w:rsidR="006D6C20" w:rsidRDefault="006D6C20" w:rsidP="006D6C20">
      <w:pPr>
        <w:jc w:val="both"/>
        <w:rPr>
          <w:rFonts w:asciiTheme="majorHAnsi" w:hAnsiTheme="majorHAnsi"/>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color w:val="FF0000"/>
                <w:sz w:val="28"/>
                <w:szCs w:val="28"/>
              </w:rPr>
            </w:pPr>
            <w:r w:rsidRPr="007E01F5">
              <w:rPr>
                <w:rFonts w:asciiTheme="majorHAnsi" w:hAnsiTheme="majorHAnsi"/>
                <w:b/>
                <w:sz w:val="28"/>
                <w:szCs w:val="28"/>
              </w:rPr>
              <w:t>What do I need to do now?</w:t>
            </w:r>
            <w:r>
              <w:rPr>
                <w:rFonts w:asciiTheme="majorHAnsi" w:hAnsiTheme="majorHAnsi"/>
                <w:b/>
                <w:sz w:val="28"/>
                <w:szCs w:val="28"/>
              </w:rPr>
              <w:t xml:space="preserve"> </w:t>
            </w:r>
          </w:p>
        </w:tc>
      </w:tr>
    </w:tbl>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r>
        <w:rPr>
          <w:rFonts w:asciiTheme="majorHAnsi" w:hAnsiTheme="majorHAnsi"/>
          <w:b/>
          <w:color w:val="404040" w:themeColor="text1" w:themeTint="BF"/>
          <w:sz w:val="20"/>
          <w:szCs w:val="20"/>
        </w:rPr>
        <w:t>Space Only Exhibitors -</w:t>
      </w:r>
      <w:r>
        <w:rPr>
          <w:rFonts w:asciiTheme="majorHAnsi" w:hAnsiTheme="majorHAnsi"/>
          <w:color w:val="404040" w:themeColor="text1" w:themeTint="BF"/>
          <w:sz w:val="20"/>
          <w:szCs w:val="20"/>
        </w:rPr>
        <w:t xml:space="preserve"> Please refer to the </w:t>
      </w:r>
      <w:r w:rsidRPr="003E69B9">
        <w:rPr>
          <w:rFonts w:asciiTheme="majorHAnsi" w:hAnsiTheme="majorHAnsi"/>
          <w:b/>
          <w:color w:val="0000FF"/>
          <w:sz w:val="20"/>
          <w:szCs w:val="20"/>
          <w:u w:val="single"/>
        </w:rPr>
        <w:t>Appendix 9 – CDM Information &amp; Instruction Document</w:t>
      </w:r>
      <w:r>
        <w:rPr>
          <w:rFonts w:asciiTheme="majorHAnsi" w:hAnsiTheme="majorHAnsi"/>
          <w:color w:val="404040" w:themeColor="text1" w:themeTint="BF"/>
          <w:sz w:val="20"/>
          <w:szCs w:val="20"/>
        </w:rPr>
        <w:t xml:space="preserve"> in the Useful Information Section below. </w:t>
      </w:r>
    </w:p>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r>
        <w:rPr>
          <w:rFonts w:asciiTheme="majorHAnsi" w:hAnsiTheme="majorHAnsi"/>
          <w:b/>
          <w:color w:val="404040" w:themeColor="text1" w:themeTint="BF"/>
          <w:sz w:val="20"/>
          <w:szCs w:val="20"/>
        </w:rPr>
        <w:t xml:space="preserve">Shell Scheme Exhibitors – </w:t>
      </w:r>
      <w:r>
        <w:rPr>
          <w:rFonts w:asciiTheme="majorHAnsi" w:hAnsiTheme="majorHAnsi"/>
          <w:color w:val="404040" w:themeColor="text1" w:themeTint="BF"/>
          <w:sz w:val="20"/>
          <w:szCs w:val="20"/>
        </w:rPr>
        <w:t>Please refer to the table in the ‘How will this impact me?’ section above.</w:t>
      </w:r>
    </w:p>
    <w:p w:rsidR="006D6C20" w:rsidRDefault="006D6C20" w:rsidP="006D6C20">
      <w:pPr>
        <w:jc w:val="both"/>
        <w:rPr>
          <w:rFonts w:asciiTheme="majorHAnsi" w:hAnsiTheme="majorHAnsi"/>
          <w:color w:val="404040" w:themeColor="text1" w:themeTint="BF"/>
          <w:sz w:val="20"/>
          <w:szCs w:val="20"/>
        </w:rPr>
      </w:pPr>
    </w:p>
    <w:p w:rsidR="006D6C20" w:rsidRPr="003E69B9" w:rsidRDefault="006D6C20" w:rsidP="006D6C20">
      <w:pPr>
        <w:jc w:val="both"/>
        <w:rPr>
          <w:rFonts w:asciiTheme="majorHAnsi" w:hAnsiTheme="majorHAnsi"/>
          <w:color w:val="404040" w:themeColor="text1" w:themeTint="BF"/>
          <w:sz w:val="20"/>
          <w:szCs w:val="20"/>
        </w:rPr>
      </w:pPr>
      <w:r>
        <w:rPr>
          <w:rFonts w:asciiTheme="majorHAnsi" w:hAnsiTheme="majorHAnsi"/>
          <w:b/>
          <w:color w:val="404040" w:themeColor="text1" w:themeTint="BF"/>
          <w:sz w:val="20"/>
          <w:szCs w:val="20"/>
        </w:rPr>
        <w:t xml:space="preserve">Space Only Contractors – </w:t>
      </w:r>
      <w:r>
        <w:rPr>
          <w:rFonts w:asciiTheme="majorHAnsi" w:hAnsiTheme="majorHAnsi"/>
          <w:color w:val="404040" w:themeColor="text1" w:themeTint="BF"/>
          <w:sz w:val="20"/>
          <w:szCs w:val="20"/>
        </w:rPr>
        <w:t xml:space="preserve">Please refer to the </w:t>
      </w:r>
      <w:r w:rsidRPr="003E69B9">
        <w:rPr>
          <w:rFonts w:asciiTheme="majorHAnsi" w:hAnsiTheme="majorHAnsi"/>
          <w:b/>
          <w:color w:val="0000FF"/>
          <w:sz w:val="20"/>
          <w:szCs w:val="20"/>
          <w:u w:val="single"/>
        </w:rPr>
        <w:t>Appendix 10 – CDM Information &amp; Instruction Document</w:t>
      </w:r>
      <w:r>
        <w:rPr>
          <w:rFonts w:asciiTheme="majorHAnsi" w:hAnsiTheme="majorHAnsi"/>
          <w:color w:val="404040" w:themeColor="text1" w:themeTint="BF"/>
          <w:sz w:val="20"/>
          <w:szCs w:val="20"/>
        </w:rPr>
        <w:t xml:space="preserve"> in the Useful Information Section below. </w:t>
      </w:r>
    </w:p>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color w:val="FF0000"/>
                <w:sz w:val="28"/>
                <w:szCs w:val="28"/>
              </w:rPr>
            </w:pPr>
            <w:r>
              <w:rPr>
                <w:rFonts w:asciiTheme="majorHAnsi" w:hAnsiTheme="majorHAnsi"/>
                <w:b/>
                <w:sz w:val="28"/>
                <w:szCs w:val="28"/>
              </w:rPr>
              <w:t>Useful Documents</w:t>
            </w:r>
            <w:r w:rsidRPr="007E01F5">
              <w:rPr>
                <w:rFonts w:asciiTheme="majorHAnsi" w:hAnsiTheme="majorHAnsi"/>
                <w:b/>
                <w:sz w:val="28"/>
                <w:szCs w:val="28"/>
              </w:rPr>
              <w:t>?</w:t>
            </w:r>
            <w:r>
              <w:rPr>
                <w:rFonts w:asciiTheme="majorHAnsi" w:hAnsiTheme="majorHAnsi"/>
                <w:b/>
                <w:sz w:val="28"/>
                <w:szCs w:val="28"/>
              </w:rPr>
              <w:t xml:space="preserve"> </w:t>
            </w:r>
          </w:p>
        </w:tc>
      </w:tr>
    </w:tbl>
    <w:p w:rsidR="006D6C20" w:rsidRDefault="006D6C20" w:rsidP="006D6C20">
      <w:pPr>
        <w:jc w:val="both"/>
        <w:rPr>
          <w:rFonts w:asciiTheme="majorHAnsi" w:hAnsiTheme="majorHAnsi"/>
          <w:color w:val="404040" w:themeColor="text1" w:themeTint="BF"/>
          <w:sz w:val="20"/>
          <w:szCs w:val="20"/>
        </w:rPr>
      </w:pPr>
    </w:p>
    <w:p w:rsidR="006D6C20" w:rsidRPr="003E69B9" w:rsidRDefault="006D6C20" w:rsidP="006D6C20">
      <w:pPr>
        <w:jc w:val="both"/>
        <w:rPr>
          <w:rFonts w:asciiTheme="majorHAnsi" w:hAnsiTheme="majorHAnsi"/>
          <w:color w:val="262626" w:themeColor="text1" w:themeTint="D9"/>
          <w:sz w:val="20"/>
          <w:szCs w:val="20"/>
        </w:rPr>
      </w:pPr>
      <w:r w:rsidRPr="003E69B9">
        <w:rPr>
          <w:rFonts w:asciiTheme="majorHAnsi" w:hAnsiTheme="majorHAnsi"/>
          <w:color w:val="262626" w:themeColor="text1" w:themeTint="D9"/>
          <w:sz w:val="20"/>
          <w:szCs w:val="20"/>
        </w:rPr>
        <w:t>Below are some documents you will find useful whe</w:t>
      </w:r>
      <w:r>
        <w:rPr>
          <w:rFonts w:asciiTheme="majorHAnsi" w:hAnsiTheme="majorHAnsi"/>
          <w:color w:val="262626" w:themeColor="text1" w:themeTint="D9"/>
          <w:sz w:val="20"/>
          <w:szCs w:val="20"/>
        </w:rPr>
        <w:t xml:space="preserve">n it comes to understanding and </w:t>
      </w:r>
      <w:r w:rsidRPr="003E69B9">
        <w:rPr>
          <w:rFonts w:asciiTheme="majorHAnsi" w:hAnsiTheme="majorHAnsi"/>
          <w:color w:val="262626" w:themeColor="text1" w:themeTint="D9"/>
          <w:sz w:val="20"/>
          <w:szCs w:val="20"/>
        </w:rPr>
        <w:t>completing the CDM process:</w:t>
      </w:r>
    </w:p>
    <w:p w:rsidR="006D6C20" w:rsidRPr="003E69B9" w:rsidRDefault="006D6C20" w:rsidP="006D6C20">
      <w:pPr>
        <w:jc w:val="both"/>
        <w:rPr>
          <w:rFonts w:asciiTheme="majorHAnsi" w:hAnsiTheme="majorHAnsi"/>
          <w:color w:val="262626" w:themeColor="text1" w:themeTint="D9"/>
          <w:sz w:val="20"/>
          <w:szCs w:val="20"/>
        </w:rPr>
      </w:pPr>
    </w:p>
    <w:p w:rsidR="006D6C20" w:rsidRPr="00264494" w:rsidRDefault="006D6C20" w:rsidP="006D6C20">
      <w:pPr>
        <w:jc w:val="both"/>
        <w:rPr>
          <w:rFonts w:asciiTheme="majorHAnsi" w:hAnsiTheme="majorHAnsi"/>
          <w:b/>
          <w:color w:val="0000FF"/>
          <w:sz w:val="20"/>
          <w:szCs w:val="20"/>
          <w:u w:val="single"/>
        </w:rPr>
      </w:pPr>
      <w:r w:rsidRPr="00264494">
        <w:rPr>
          <w:rFonts w:asciiTheme="majorHAnsi" w:hAnsiTheme="majorHAnsi"/>
          <w:b/>
          <w:color w:val="0000FF"/>
          <w:sz w:val="20"/>
          <w:szCs w:val="20"/>
          <w:u w:val="single"/>
        </w:rPr>
        <w:t>Appendix 3 – Site Induction Document</w:t>
      </w:r>
    </w:p>
    <w:p w:rsidR="006D6C20" w:rsidRPr="00264494" w:rsidRDefault="006D6C20" w:rsidP="006D6C20">
      <w:pPr>
        <w:jc w:val="both"/>
        <w:rPr>
          <w:rFonts w:asciiTheme="majorHAnsi" w:hAnsiTheme="majorHAnsi"/>
          <w:b/>
          <w:color w:val="0000FF"/>
          <w:sz w:val="20"/>
          <w:szCs w:val="20"/>
          <w:u w:val="single"/>
        </w:rPr>
      </w:pPr>
      <w:r w:rsidRPr="00264494">
        <w:rPr>
          <w:rFonts w:asciiTheme="majorHAnsi" w:hAnsiTheme="majorHAnsi"/>
          <w:b/>
          <w:color w:val="0000FF"/>
          <w:sz w:val="20"/>
          <w:szCs w:val="20"/>
          <w:u w:val="single"/>
        </w:rPr>
        <w:t>Appendix 5 – Construction Phase Plan</w:t>
      </w:r>
    </w:p>
    <w:p w:rsidR="006D6C20" w:rsidRPr="00264494" w:rsidRDefault="006D6C20" w:rsidP="006D6C20">
      <w:pPr>
        <w:jc w:val="both"/>
        <w:rPr>
          <w:rFonts w:asciiTheme="majorHAnsi" w:hAnsiTheme="majorHAnsi"/>
          <w:b/>
          <w:color w:val="0000FF"/>
          <w:sz w:val="20"/>
          <w:szCs w:val="20"/>
          <w:u w:val="single"/>
        </w:rPr>
      </w:pPr>
      <w:r w:rsidRPr="00264494">
        <w:rPr>
          <w:rFonts w:asciiTheme="majorHAnsi" w:hAnsiTheme="majorHAnsi"/>
          <w:b/>
          <w:color w:val="0000FF"/>
          <w:sz w:val="20"/>
          <w:szCs w:val="20"/>
          <w:u w:val="single"/>
        </w:rPr>
        <w:t>Appendix 6 – Site Rules &amp; Information</w:t>
      </w:r>
    </w:p>
    <w:p w:rsidR="006D6C20" w:rsidRPr="00264494" w:rsidRDefault="006D6C20" w:rsidP="006D6C20">
      <w:pPr>
        <w:jc w:val="both"/>
        <w:rPr>
          <w:rFonts w:asciiTheme="majorHAnsi" w:hAnsiTheme="majorHAnsi"/>
          <w:b/>
          <w:color w:val="0000FF"/>
          <w:sz w:val="20"/>
          <w:szCs w:val="20"/>
          <w:u w:val="single"/>
        </w:rPr>
      </w:pPr>
      <w:r w:rsidRPr="00264494">
        <w:rPr>
          <w:rFonts w:asciiTheme="majorHAnsi" w:hAnsiTheme="majorHAnsi"/>
          <w:b/>
          <w:color w:val="0000FF"/>
          <w:sz w:val="20"/>
          <w:szCs w:val="20"/>
          <w:u w:val="single"/>
        </w:rPr>
        <w:t>Appendix 9 – CDM Information &amp; Instruction for Space Only Exhibitors</w:t>
      </w:r>
    </w:p>
    <w:p w:rsidR="006D6C20" w:rsidRPr="00264494" w:rsidRDefault="006D6C20" w:rsidP="006D6C20">
      <w:pPr>
        <w:jc w:val="both"/>
        <w:rPr>
          <w:rFonts w:asciiTheme="majorHAnsi" w:hAnsiTheme="majorHAnsi"/>
          <w:b/>
          <w:color w:val="0000FF"/>
          <w:sz w:val="20"/>
          <w:szCs w:val="20"/>
          <w:u w:val="single"/>
        </w:rPr>
      </w:pPr>
      <w:r w:rsidRPr="00264494">
        <w:rPr>
          <w:rFonts w:asciiTheme="majorHAnsi" w:hAnsiTheme="majorHAnsi"/>
          <w:b/>
          <w:color w:val="0000FF"/>
          <w:sz w:val="20"/>
          <w:szCs w:val="20"/>
          <w:u w:val="single"/>
        </w:rPr>
        <w:t>Appendix 10 – CDM Information &amp; Instruction for Space Only Contractors</w:t>
      </w:r>
    </w:p>
    <w:p w:rsidR="006D6C20" w:rsidRDefault="006D6C20" w:rsidP="006D6C20">
      <w:pPr>
        <w:jc w:val="both"/>
        <w:rPr>
          <w:rFonts w:asciiTheme="majorHAnsi" w:hAnsiTheme="majorHAnsi"/>
          <w:color w:val="404040" w:themeColor="text1" w:themeTint="BF"/>
          <w:sz w:val="20"/>
          <w:szCs w:val="20"/>
        </w:rPr>
      </w:pPr>
      <w:r w:rsidRPr="00264494">
        <w:rPr>
          <w:rFonts w:asciiTheme="majorHAnsi" w:hAnsiTheme="majorHAnsi"/>
          <w:b/>
          <w:color w:val="0000FF"/>
          <w:sz w:val="20"/>
          <w:szCs w:val="20"/>
          <w:u w:val="single"/>
        </w:rPr>
        <w:t>Appendix 11 – CDM Site Access &amp; Wristband FAQs</w:t>
      </w:r>
    </w:p>
    <w:p w:rsidR="006D6C20" w:rsidRDefault="006D6C20" w:rsidP="006D6C20">
      <w:pPr>
        <w:jc w:val="both"/>
        <w:rPr>
          <w:rFonts w:asciiTheme="majorHAnsi" w:hAnsiTheme="majorHAnsi"/>
          <w:color w:val="404040" w:themeColor="text1" w:themeTint="BF"/>
          <w:sz w:val="20"/>
          <w:szCs w:val="20"/>
        </w:rPr>
      </w:pPr>
    </w:p>
    <w:p w:rsidR="00592877" w:rsidRDefault="00592877" w:rsidP="006D6C20">
      <w:pPr>
        <w:jc w:val="both"/>
        <w:rPr>
          <w:rFonts w:asciiTheme="majorHAnsi" w:hAnsiTheme="majorHAnsi"/>
          <w:color w:val="404040" w:themeColor="text1" w:themeTint="BF"/>
          <w:sz w:val="20"/>
          <w:szCs w:val="20"/>
        </w:rPr>
      </w:pPr>
      <w:r>
        <w:rPr>
          <w:rFonts w:asciiTheme="majorHAnsi" w:hAnsiTheme="majorHAnsi"/>
          <w:color w:val="404040" w:themeColor="text1" w:themeTint="BF"/>
          <w:sz w:val="20"/>
          <w:szCs w:val="20"/>
        </w:rPr>
        <w:t xml:space="preserve">These documents can be found within the CDM </w:t>
      </w:r>
      <w:r w:rsidR="0004138B">
        <w:rPr>
          <w:rFonts w:asciiTheme="majorHAnsi" w:hAnsiTheme="majorHAnsi"/>
          <w:color w:val="404040" w:themeColor="text1" w:themeTint="BF"/>
          <w:sz w:val="20"/>
          <w:szCs w:val="20"/>
        </w:rPr>
        <w:t>section of</w:t>
      </w:r>
      <w:r>
        <w:rPr>
          <w:rFonts w:asciiTheme="majorHAnsi" w:hAnsiTheme="majorHAnsi"/>
          <w:color w:val="404040" w:themeColor="text1" w:themeTint="BF"/>
          <w:sz w:val="20"/>
          <w:szCs w:val="20"/>
        </w:rPr>
        <w:t xml:space="preserve"> this manual.  </w:t>
      </w:r>
    </w:p>
    <w:p w:rsidR="006D6C20" w:rsidRDefault="006D6C20" w:rsidP="006D6C20">
      <w:pPr>
        <w:jc w:val="both"/>
        <w:rPr>
          <w:rFonts w:asciiTheme="majorHAnsi" w:hAnsiTheme="majorHAnsi"/>
          <w:color w:val="404040" w:themeColor="text1" w:themeTint="BF"/>
          <w:sz w:val="20"/>
          <w:szCs w:val="20"/>
        </w:rPr>
      </w:pPr>
    </w:p>
    <w:tbl>
      <w:tblPr>
        <w:tblStyle w:val="TableGrid"/>
        <w:tblW w:w="0" w:type="auto"/>
        <w:tblLook w:val="00A0" w:firstRow="1" w:lastRow="0" w:firstColumn="1" w:lastColumn="0" w:noHBand="0" w:noVBand="0"/>
      </w:tblPr>
      <w:tblGrid>
        <w:gridCol w:w="10280"/>
      </w:tblGrid>
      <w:tr w:rsidR="006D6C20" w:rsidTr="00F16E3C">
        <w:tc>
          <w:tcPr>
            <w:tcW w:w="10280" w:type="dxa"/>
            <w:tcBorders>
              <w:top w:val="nil"/>
              <w:left w:val="nil"/>
              <w:bottom w:val="nil"/>
              <w:right w:val="nil"/>
            </w:tcBorders>
            <w:shd w:val="clear" w:color="auto" w:fill="D9D9D9" w:themeFill="background1" w:themeFillShade="D9"/>
          </w:tcPr>
          <w:p w:rsidR="006D6C20" w:rsidRPr="00C13A54" w:rsidRDefault="006D6C20" w:rsidP="00592877">
            <w:pPr>
              <w:jc w:val="both"/>
              <w:rPr>
                <w:rFonts w:asciiTheme="majorHAnsi" w:hAnsiTheme="majorHAnsi"/>
                <w:color w:val="FF0000"/>
                <w:sz w:val="28"/>
                <w:szCs w:val="28"/>
              </w:rPr>
            </w:pPr>
            <w:r>
              <w:rPr>
                <w:rFonts w:asciiTheme="majorHAnsi" w:hAnsiTheme="majorHAnsi"/>
                <w:b/>
                <w:sz w:val="28"/>
                <w:szCs w:val="28"/>
              </w:rPr>
              <w:t>After reading the information I still have questions, who do I speak to</w:t>
            </w:r>
            <w:r w:rsidRPr="007E01F5">
              <w:rPr>
                <w:rFonts w:asciiTheme="majorHAnsi" w:hAnsiTheme="majorHAnsi"/>
                <w:b/>
                <w:sz w:val="28"/>
                <w:szCs w:val="28"/>
              </w:rPr>
              <w:t>?</w:t>
            </w:r>
            <w:r>
              <w:rPr>
                <w:rFonts w:asciiTheme="majorHAnsi" w:hAnsiTheme="majorHAnsi"/>
                <w:b/>
                <w:sz w:val="28"/>
                <w:szCs w:val="28"/>
              </w:rPr>
              <w:t xml:space="preserve"> </w:t>
            </w:r>
          </w:p>
        </w:tc>
      </w:tr>
    </w:tbl>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r>
        <w:rPr>
          <w:rFonts w:asciiTheme="majorHAnsi" w:hAnsiTheme="majorHAnsi"/>
          <w:color w:val="404040" w:themeColor="text1" w:themeTint="BF"/>
          <w:sz w:val="20"/>
          <w:szCs w:val="20"/>
        </w:rPr>
        <w:t>If after reading all of the information provided you require further clarification on what you need to do or explanation around anything to do with CDM, please feel free to contact:</w:t>
      </w:r>
    </w:p>
    <w:p w:rsidR="006D6C20" w:rsidRDefault="006D6C20" w:rsidP="006D6C20">
      <w:pPr>
        <w:jc w:val="both"/>
        <w:rPr>
          <w:rFonts w:asciiTheme="majorHAnsi" w:hAnsiTheme="majorHAnsi"/>
          <w:color w:val="404040" w:themeColor="text1" w:themeTint="BF"/>
          <w:sz w:val="20"/>
          <w:szCs w:val="20"/>
        </w:rPr>
      </w:pPr>
    </w:p>
    <w:p w:rsidR="006D6C20" w:rsidRPr="006D6C20" w:rsidRDefault="0037257F" w:rsidP="006D6C20">
      <w:pPr>
        <w:jc w:val="both"/>
        <w:rPr>
          <w:rFonts w:asciiTheme="majorHAnsi" w:hAnsiTheme="majorHAnsi"/>
          <w:sz w:val="20"/>
          <w:szCs w:val="20"/>
        </w:rPr>
      </w:pPr>
      <w:r>
        <w:rPr>
          <w:rFonts w:asciiTheme="majorHAnsi" w:hAnsiTheme="majorHAnsi"/>
          <w:sz w:val="20"/>
          <w:szCs w:val="20"/>
        </w:rPr>
        <w:t>Maxine Smith on 01322 221 659</w:t>
      </w:r>
    </w:p>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p>
    <w:p w:rsidR="006D6C20" w:rsidRDefault="006D6C20" w:rsidP="006D6C20">
      <w:pPr>
        <w:jc w:val="both"/>
        <w:rPr>
          <w:rFonts w:asciiTheme="majorHAnsi" w:hAnsiTheme="majorHAnsi"/>
          <w:color w:val="404040" w:themeColor="text1" w:themeTint="BF"/>
          <w:sz w:val="20"/>
          <w:szCs w:val="20"/>
        </w:rPr>
      </w:pPr>
      <w:r>
        <w:rPr>
          <w:rFonts w:asciiTheme="majorHAnsi" w:hAnsiTheme="majorHAnsi"/>
          <w:color w:val="404040" w:themeColor="text1" w:themeTint="BF"/>
          <w:sz w:val="20"/>
          <w:szCs w:val="20"/>
        </w:rPr>
        <w:t xml:space="preserve">As mentioned above, this is still a very new process for the industry so we kindly request </w:t>
      </w:r>
      <w:r w:rsidR="0037257F">
        <w:rPr>
          <w:rFonts w:asciiTheme="majorHAnsi" w:hAnsiTheme="majorHAnsi"/>
          <w:color w:val="404040" w:themeColor="text1" w:themeTint="BF"/>
          <w:sz w:val="20"/>
          <w:szCs w:val="20"/>
        </w:rPr>
        <w:t>your</w:t>
      </w:r>
      <w:r>
        <w:rPr>
          <w:rFonts w:asciiTheme="majorHAnsi" w:hAnsiTheme="majorHAnsi"/>
          <w:color w:val="404040" w:themeColor="text1" w:themeTint="BF"/>
          <w:sz w:val="20"/>
          <w:szCs w:val="20"/>
        </w:rPr>
        <w:t xml:space="preserve"> cooperation and patience.</w:t>
      </w:r>
    </w:p>
    <w:p w:rsidR="006D6C20" w:rsidRDefault="006D6C20" w:rsidP="006D6C20">
      <w:pPr>
        <w:jc w:val="both"/>
        <w:rPr>
          <w:rFonts w:asciiTheme="majorHAnsi" w:hAnsiTheme="majorHAnsi"/>
          <w:color w:val="404040" w:themeColor="text1" w:themeTint="BF"/>
          <w:sz w:val="20"/>
          <w:szCs w:val="20"/>
        </w:rPr>
      </w:pPr>
    </w:p>
    <w:p w:rsidR="006D6C20" w:rsidRPr="006D6C20" w:rsidRDefault="006D6C20" w:rsidP="006D6C20">
      <w:pPr>
        <w:jc w:val="both"/>
        <w:rPr>
          <w:rFonts w:asciiTheme="majorHAnsi" w:hAnsiTheme="majorHAnsi"/>
          <w:sz w:val="20"/>
          <w:szCs w:val="20"/>
        </w:rPr>
      </w:pPr>
      <w:r w:rsidRPr="006D6C20">
        <w:rPr>
          <w:rFonts w:asciiTheme="majorHAnsi" w:hAnsiTheme="majorHAnsi"/>
          <w:sz w:val="20"/>
          <w:szCs w:val="20"/>
        </w:rPr>
        <w:t xml:space="preserve">Many Thanks </w:t>
      </w:r>
    </w:p>
    <w:p w:rsidR="006D6C20" w:rsidRPr="006D6C20" w:rsidRDefault="006D6C20" w:rsidP="006D6C20">
      <w:pPr>
        <w:jc w:val="both"/>
        <w:rPr>
          <w:rFonts w:asciiTheme="majorHAnsi" w:hAnsiTheme="majorHAnsi"/>
          <w:sz w:val="20"/>
          <w:szCs w:val="20"/>
        </w:rPr>
      </w:pPr>
    </w:p>
    <w:p w:rsidR="006D6C20" w:rsidRPr="007E01F5" w:rsidRDefault="0004138B" w:rsidP="006D6C20">
      <w:pPr>
        <w:jc w:val="both"/>
        <w:rPr>
          <w:rFonts w:asciiTheme="majorHAnsi" w:hAnsiTheme="majorHAnsi"/>
          <w:color w:val="404040" w:themeColor="text1" w:themeTint="BF"/>
          <w:sz w:val="20"/>
          <w:szCs w:val="20"/>
        </w:rPr>
      </w:pPr>
      <w:r>
        <w:rPr>
          <w:rFonts w:asciiTheme="majorHAnsi" w:hAnsiTheme="majorHAnsi"/>
          <w:sz w:val="20"/>
          <w:szCs w:val="20"/>
        </w:rPr>
        <w:t>Factories of the Future Expo</w:t>
      </w:r>
      <w:bookmarkStart w:id="0" w:name="_GoBack"/>
      <w:bookmarkEnd w:id="0"/>
    </w:p>
    <w:p w:rsidR="006D6C20" w:rsidRDefault="006D6C20" w:rsidP="006D6C20">
      <w:pPr>
        <w:rPr>
          <w:rFonts w:asciiTheme="majorHAnsi" w:hAnsiTheme="majorHAnsi"/>
        </w:rPr>
      </w:pPr>
    </w:p>
    <w:p w:rsidR="006D6C20" w:rsidRDefault="006D6C20" w:rsidP="006D6C20">
      <w:pPr>
        <w:jc w:val="both"/>
        <w:rPr>
          <w:rFonts w:asciiTheme="majorHAnsi" w:hAnsiTheme="majorHAnsi"/>
        </w:rPr>
      </w:pPr>
    </w:p>
    <w:p w:rsidR="0020266B" w:rsidRDefault="0020266B"/>
    <w:sectPr w:rsidR="0020266B" w:rsidSect="00C877DA">
      <w:footerReference w:type="default" r:id="rId7"/>
      <w:pgSz w:w="11900" w:h="16840"/>
      <w:pgMar w:top="567" w:right="843" w:bottom="1560" w:left="993"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CC7" w:rsidRDefault="00127CC7" w:rsidP="006D6C20">
      <w:r>
        <w:separator/>
      </w:r>
    </w:p>
  </w:endnote>
  <w:endnote w:type="continuationSeparator" w:id="0">
    <w:p w:rsidR="00127CC7" w:rsidRDefault="00127CC7" w:rsidP="006D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94" w:rsidRPr="00654EA4" w:rsidRDefault="00127CC7" w:rsidP="00654EA4">
    <w:pPr>
      <w:pStyle w:val="Footer"/>
      <w:tabs>
        <w:tab w:val="clear" w:pos="8640"/>
        <w:tab w:val="right" w:pos="9923"/>
      </w:tabs>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CC7" w:rsidRDefault="00127CC7" w:rsidP="006D6C20">
      <w:r>
        <w:separator/>
      </w:r>
    </w:p>
  </w:footnote>
  <w:footnote w:type="continuationSeparator" w:id="0">
    <w:p w:rsidR="00127CC7" w:rsidRDefault="00127CC7" w:rsidP="006D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57AC"/>
    <w:multiLevelType w:val="hybridMultilevel"/>
    <w:tmpl w:val="48DA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6493C"/>
    <w:multiLevelType w:val="hybridMultilevel"/>
    <w:tmpl w:val="F71E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A7D89"/>
    <w:multiLevelType w:val="hybridMultilevel"/>
    <w:tmpl w:val="82B0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343AA"/>
    <w:multiLevelType w:val="hybridMultilevel"/>
    <w:tmpl w:val="32C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65566"/>
    <w:multiLevelType w:val="hybridMultilevel"/>
    <w:tmpl w:val="EFEA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20"/>
    <w:rsid w:val="0004138B"/>
    <w:rsid w:val="000B752C"/>
    <w:rsid w:val="00127CC7"/>
    <w:rsid w:val="001950B0"/>
    <w:rsid w:val="0020266B"/>
    <w:rsid w:val="00204506"/>
    <w:rsid w:val="002C0408"/>
    <w:rsid w:val="0037257F"/>
    <w:rsid w:val="00592877"/>
    <w:rsid w:val="005C6F81"/>
    <w:rsid w:val="006364BE"/>
    <w:rsid w:val="006C58F4"/>
    <w:rsid w:val="006D6C20"/>
    <w:rsid w:val="00742EA4"/>
    <w:rsid w:val="00911778"/>
    <w:rsid w:val="00B85288"/>
    <w:rsid w:val="00DC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8B6B"/>
  <w15:docId w15:val="{FC6327E9-6E34-4291-BF83-380EAB44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D6C2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C20"/>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C20"/>
    <w:pPr>
      <w:ind w:left="720"/>
      <w:contextualSpacing/>
    </w:pPr>
  </w:style>
  <w:style w:type="paragraph" w:styleId="Footer">
    <w:name w:val="footer"/>
    <w:basedOn w:val="Normal"/>
    <w:link w:val="FooterChar"/>
    <w:uiPriority w:val="99"/>
    <w:unhideWhenUsed/>
    <w:rsid w:val="006D6C20"/>
    <w:pPr>
      <w:tabs>
        <w:tab w:val="center" w:pos="4320"/>
        <w:tab w:val="right" w:pos="8640"/>
      </w:tabs>
    </w:pPr>
  </w:style>
  <w:style w:type="character" w:customStyle="1" w:styleId="FooterChar">
    <w:name w:val="Footer Char"/>
    <w:basedOn w:val="DefaultParagraphFont"/>
    <w:link w:val="Footer"/>
    <w:uiPriority w:val="99"/>
    <w:rsid w:val="006D6C20"/>
  </w:style>
  <w:style w:type="character" w:styleId="PageNumber">
    <w:name w:val="page number"/>
    <w:basedOn w:val="DefaultParagraphFont"/>
    <w:uiPriority w:val="99"/>
    <w:semiHidden/>
    <w:unhideWhenUsed/>
    <w:rsid w:val="006D6C20"/>
  </w:style>
  <w:style w:type="paragraph" w:styleId="Header">
    <w:name w:val="header"/>
    <w:basedOn w:val="Normal"/>
    <w:link w:val="HeaderChar"/>
    <w:uiPriority w:val="99"/>
    <w:semiHidden/>
    <w:unhideWhenUsed/>
    <w:rsid w:val="006D6C20"/>
    <w:pPr>
      <w:tabs>
        <w:tab w:val="center" w:pos="4680"/>
        <w:tab w:val="right" w:pos="9360"/>
      </w:tabs>
    </w:pPr>
  </w:style>
  <w:style w:type="character" w:customStyle="1" w:styleId="HeaderChar">
    <w:name w:val="Header Char"/>
    <w:basedOn w:val="DefaultParagraphFont"/>
    <w:link w:val="Header"/>
    <w:uiPriority w:val="99"/>
    <w:semiHidden/>
    <w:rsid w:val="006D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Smith</dc:creator>
  <cp:keywords/>
  <dc:description/>
  <cp:lastModifiedBy>Maxine Smith</cp:lastModifiedBy>
  <cp:revision>2</cp:revision>
  <dcterms:created xsi:type="dcterms:W3CDTF">2017-01-18T15:46:00Z</dcterms:created>
  <dcterms:modified xsi:type="dcterms:W3CDTF">2017-01-18T15:46:00Z</dcterms:modified>
</cp:coreProperties>
</file>